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DDFF6" w14:textId="2D6C1138" w:rsidR="002757FB" w:rsidRDefault="002757FB" w:rsidP="002757FB">
      <w:pPr>
        <w:tabs>
          <w:tab w:val="left" w:pos="1400"/>
        </w:tabs>
        <w:jc w:val="right"/>
        <w:rPr>
          <w:b/>
        </w:rPr>
      </w:pPr>
      <w:r>
        <w:rPr>
          <w:noProof/>
        </w:rPr>
        <w:drawing>
          <wp:inline distT="0" distB="0" distL="0" distR="0" wp14:anchorId="25DD5275" wp14:editId="1D5C9210">
            <wp:extent cx="939800" cy="241300"/>
            <wp:effectExtent l="0" t="0" r="0" b="0"/>
            <wp:docPr id="1776716680" name="Picture" descr="Une image contenant Police, texte, Graphique, graphism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716680" name="Picture" descr="Une image contenant Police, texte, Graphique, graphisme&#10;&#10;Le contenu généré par l’IA peut être incorrect.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33F25" w14:textId="23D5D876" w:rsidR="00085879" w:rsidRDefault="00CA2D4E" w:rsidP="00CA2D4E">
      <w:pPr>
        <w:tabs>
          <w:tab w:val="left" w:pos="1400"/>
        </w:tabs>
        <w:rPr>
          <w:b/>
        </w:rPr>
      </w:pPr>
      <w:r>
        <w:rPr>
          <w:noProof/>
        </w:rPr>
        <w:drawing>
          <wp:inline distT="0" distB="0" distL="0" distR="0" wp14:anchorId="7BFAD683" wp14:editId="3142340B">
            <wp:extent cx="1143000" cy="1143000"/>
            <wp:effectExtent l="0" t="0" r="0" b="0"/>
            <wp:docPr id="1889607809" name="Picture" descr="Une image contenant Visage humain, personne, habits, sourir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607809" name="Picture" descr="Une image contenant Visage humain, personne, habits, sourire&#10;&#10;Le contenu généré par l’IA peut être incorrect.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4272">
        <w:rPr>
          <w:b/>
        </w:rPr>
        <w:t xml:space="preserve"> </w:t>
      </w:r>
    </w:p>
    <w:p w14:paraId="0F39D2D3" w14:textId="77777777" w:rsidR="00CA2D4E" w:rsidRDefault="00CA2D4E" w:rsidP="00CA2D4E">
      <w:pPr>
        <w:tabs>
          <w:tab w:val="left" w:pos="1400"/>
        </w:tabs>
        <w:rPr>
          <w:b/>
        </w:rPr>
      </w:pPr>
    </w:p>
    <w:p w14:paraId="351A51A6" w14:textId="45570804" w:rsidR="00085879" w:rsidRPr="00CA2D4E" w:rsidRDefault="00CA2D4E" w:rsidP="00CA2D4E">
      <w:pPr>
        <w:tabs>
          <w:tab w:val="left" w:pos="1400"/>
        </w:tabs>
        <w:jc w:val="center"/>
        <w:rPr>
          <w:b/>
          <w:sz w:val="32"/>
          <w:szCs w:val="32"/>
        </w:rPr>
      </w:pPr>
      <w:r w:rsidRPr="00CA2D4E">
        <w:rPr>
          <w:b/>
          <w:sz w:val="32"/>
          <w:szCs w:val="32"/>
        </w:rPr>
        <w:t>Alexandre SOKIC</w:t>
      </w:r>
    </w:p>
    <w:p w14:paraId="7001136A" w14:textId="77777777" w:rsidR="00CA2D4E" w:rsidRDefault="00CA2D4E" w:rsidP="00F5160A">
      <w:pPr>
        <w:jc w:val="both"/>
        <w:rPr>
          <w:rFonts w:ascii="DejaVu Sans" w:eastAsia="DejaVu Sans" w:hAnsi="DejaVu Sans" w:cs="DejaVu Sans"/>
          <w:b/>
          <w:color w:val="0B5294"/>
        </w:rPr>
      </w:pPr>
    </w:p>
    <w:p w14:paraId="44578B5A" w14:textId="77777777" w:rsidR="002757FB" w:rsidRDefault="002757FB" w:rsidP="00F5160A">
      <w:pPr>
        <w:jc w:val="both"/>
        <w:rPr>
          <w:rFonts w:ascii="DejaVu Sans" w:eastAsia="DejaVu Sans" w:hAnsi="DejaVu Sans" w:cs="DejaVu Sans"/>
          <w:b/>
          <w:color w:val="0B5294"/>
        </w:rPr>
      </w:pPr>
    </w:p>
    <w:p w14:paraId="225F92ED" w14:textId="56FD0938" w:rsidR="00CA2D4E" w:rsidRPr="002757FB" w:rsidRDefault="002757FB" w:rsidP="00F5160A">
      <w:pPr>
        <w:jc w:val="both"/>
        <w:rPr>
          <w:rFonts w:ascii="DejaVu Sans" w:eastAsia="DejaVu Sans" w:hAnsi="DejaVu Sans" w:cs="DejaVu Sans"/>
          <w:b/>
          <w:color w:val="0B5294"/>
          <w:lang w:val="en-GB"/>
        </w:rPr>
      </w:pPr>
      <w:r w:rsidRPr="002757FB">
        <w:rPr>
          <w:rFonts w:ascii="DejaVu Sans" w:eastAsia="DejaVu Sans" w:hAnsi="DejaVu Sans" w:cs="DejaVu Sans"/>
          <w:b/>
          <w:color w:val="0B5294"/>
          <w:lang w:val="en-GB"/>
        </w:rPr>
        <w:t>ESCE International Business School</w:t>
      </w:r>
    </w:p>
    <w:p w14:paraId="0032E606" w14:textId="0C2A3E70" w:rsidR="002757FB" w:rsidRPr="002757FB" w:rsidRDefault="002757FB" w:rsidP="00F5160A">
      <w:pPr>
        <w:jc w:val="both"/>
        <w:rPr>
          <w:rFonts w:ascii="DejaVu Sans" w:eastAsia="DejaVu Sans" w:hAnsi="DejaVu Sans" w:cs="DejaVu Sans"/>
          <w:b/>
          <w:color w:val="0B5294"/>
          <w:lang w:val="en-GB"/>
        </w:rPr>
      </w:pPr>
      <w:r w:rsidRPr="002757FB">
        <w:rPr>
          <w:rFonts w:ascii="DejaVu Sans" w:eastAsia="DejaVu Sans" w:hAnsi="DejaVu Sans" w:cs="DejaVu Sans"/>
          <w:b/>
          <w:color w:val="0B5294"/>
          <w:lang w:val="en-GB"/>
        </w:rPr>
        <w:t>De</w:t>
      </w:r>
      <w:r>
        <w:rPr>
          <w:rFonts w:ascii="DejaVu Sans" w:eastAsia="DejaVu Sans" w:hAnsi="DejaVu Sans" w:cs="DejaVu Sans"/>
          <w:b/>
          <w:color w:val="0B5294"/>
          <w:lang w:val="en-GB"/>
        </w:rPr>
        <w:t>partment of Economics &amp; Finance</w:t>
      </w:r>
    </w:p>
    <w:p w14:paraId="4BA211E9" w14:textId="77777777" w:rsidR="002757FB" w:rsidRPr="002757FB" w:rsidRDefault="002757FB" w:rsidP="00F5160A">
      <w:pPr>
        <w:jc w:val="both"/>
        <w:rPr>
          <w:rFonts w:ascii="DejaVu Sans" w:eastAsia="DejaVu Sans" w:hAnsi="DejaVu Sans" w:cs="DejaVu Sans"/>
          <w:b/>
          <w:color w:val="0B5294"/>
          <w:lang w:val="en-GB"/>
        </w:rPr>
      </w:pPr>
    </w:p>
    <w:p w14:paraId="4DBB13A9" w14:textId="7452AA63" w:rsidR="00B347BF" w:rsidRDefault="00CA2D4E" w:rsidP="00F5160A">
      <w:pPr>
        <w:jc w:val="both"/>
        <w:rPr>
          <w:rFonts w:ascii="DejaVu Sans" w:eastAsia="DejaVu Sans" w:hAnsi="DejaVu Sans" w:cs="DejaVu Sans"/>
          <w:b/>
          <w:color w:val="0B5294"/>
          <w:lang w:val="en-GB"/>
        </w:rPr>
      </w:pPr>
      <w:r w:rsidRPr="00CA2D4E">
        <w:rPr>
          <w:rFonts w:ascii="DejaVu Sans" w:eastAsia="DejaVu Sans" w:hAnsi="DejaVu Sans" w:cs="DejaVu Sans"/>
          <w:b/>
          <w:color w:val="0B5294"/>
          <w:lang w:val="en-GB"/>
        </w:rPr>
        <w:t>EDUCATION</w:t>
      </w:r>
    </w:p>
    <w:p w14:paraId="1E11B12A" w14:textId="77777777" w:rsidR="00CA2D4E" w:rsidRDefault="00CA2D4E" w:rsidP="00F5160A">
      <w:pPr>
        <w:jc w:val="both"/>
        <w:rPr>
          <w:rFonts w:ascii="DejaVu Sans" w:eastAsia="DejaVu Sans" w:hAnsi="DejaVu Sans" w:cs="DejaVu Sans"/>
          <w:b/>
          <w:color w:val="0B5294"/>
          <w:lang w:val="en-GB"/>
        </w:rPr>
      </w:pPr>
    </w:p>
    <w:p w14:paraId="7CCA432C" w14:textId="6BC00F64" w:rsidR="00CA2D4E" w:rsidRPr="00CA2D4E" w:rsidRDefault="00CA2D4E" w:rsidP="00F5160A">
      <w:pPr>
        <w:jc w:val="both"/>
        <w:rPr>
          <w:bCs/>
          <w:lang w:val="en-GB"/>
        </w:rPr>
      </w:pPr>
      <w:r w:rsidRPr="00CA2D4E">
        <w:rPr>
          <w:rFonts w:eastAsia="DejaVu Sans"/>
          <w:bCs/>
          <w:lang w:val="en-GB"/>
        </w:rPr>
        <w:t>1996 D</w:t>
      </w:r>
      <w:r w:rsidR="0076234E">
        <w:rPr>
          <w:rFonts w:eastAsia="DejaVu Sans"/>
          <w:bCs/>
          <w:lang w:val="en-GB"/>
        </w:rPr>
        <w:t>OCTORATE</w:t>
      </w:r>
      <w:r w:rsidRPr="00CA2D4E">
        <w:rPr>
          <w:rFonts w:eastAsia="DejaVu Sans"/>
          <w:bCs/>
          <w:lang w:val="en-GB"/>
        </w:rPr>
        <w:t xml:space="preserve"> in Economics , University of Strasbourg 1</w:t>
      </w:r>
      <w:r w:rsidR="002757FB">
        <w:rPr>
          <w:rFonts w:eastAsia="DejaVu Sans"/>
          <w:bCs/>
          <w:lang w:val="en-GB"/>
        </w:rPr>
        <w:t>, France</w:t>
      </w:r>
    </w:p>
    <w:p w14:paraId="25CDD205" w14:textId="77777777" w:rsidR="00CA2D4E" w:rsidRDefault="00CA2D4E" w:rsidP="00F5160A">
      <w:pPr>
        <w:jc w:val="both"/>
        <w:rPr>
          <w:rFonts w:ascii="DejaVu Sans" w:eastAsia="DejaVu Sans" w:hAnsi="DejaVu Sans" w:cs="DejaVu Sans"/>
          <w:b/>
          <w:color w:val="0B5294"/>
          <w:lang w:val="en-GB"/>
        </w:rPr>
      </w:pPr>
    </w:p>
    <w:p w14:paraId="712B5B21" w14:textId="6B5B3A05" w:rsidR="00CA2D4E" w:rsidRPr="00CA2D4E" w:rsidRDefault="00CA2D4E" w:rsidP="00F5160A">
      <w:pPr>
        <w:jc w:val="both"/>
        <w:rPr>
          <w:lang w:val="en-GB"/>
        </w:rPr>
      </w:pPr>
      <w:r w:rsidRPr="00CA2D4E">
        <w:rPr>
          <w:rFonts w:ascii="DejaVu Sans" w:eastAsia="DejaVu Sans" w:hAnsi="DejaVu Sans" w:cs="DejaVu Sans"/>
          <w:b/>
          <w:color w:val="0B5294"/>
          <w:lang w:val="en-GB"/>
        </w:rPr>
        <w:t>RESEARCH INTERESTS</w:t>
      </w:r>
    </w:p>
    <w:p w14:paraId="7C79921D" w14:textId="075E89FD" w:rsidR="00CA2D4E" w:rsidRDefault="00CA2D4E" w:rsidP="00610A1D">
      <w:pPr>
        <w:jc w:val="both"/>
        <w:rPr>
          <w:rFonts w:eastAsia="DejaVu Sans"/>
          <w:bCs/>
          <w:lang w:val="en-GB"/>
        </w:rPr>
      </w:pPr>
      <w:r w:rsidRPr="00CA2D4E">
        <w:rPr>
          <w:rFonts w:eastAsia="DejaVu Sans"/>
          <w:bCs/>
          <w:lang w:val="en-GB"/>
        </w:rPr>
        <w:t>Monetary economics</w:t>
      </w:r>
    </w:p>
    <w:p w14:paraId="3173B596" w14:textId="352D3EFA" w:rsidR="002757FB" w:rsidRPr="00CA2D4E" w:rsidRDefault="002757FB" w:rsidP="00610A1D">
      <w:pPr>
        <w:jc w:val="both"/>
        <w:rPr>
          <w:rFonts w:eastAsia="DejaVu Sans"/>
          <w:bCs/>
          <w:lang w:val="en-GB"/>
        </w:rPr>
      </w:pPr>
      <w:r>
        <w:rPr>
          <w:rFonts w:eastAsia="DejaVu Sans"/>
          <w:bCs/>
          <w:lang w:val="en-GB"/>
        </w:rPr>
        <w:t>Monetary theory and policy</w:t>
      </w:r>
    </w:p>
    <w:p w14:paraId="6F3DBFF5" w14:textId="2C0C1C89" w:rsidR="00CA2D4E" w:rsidRDefault="00CA2D4E" w:rsidP="00610A1D">
      <w:pPr>
        <w:jc w:val="both"/>
        <w:rPr>
          <w:rFonts w:eastAsia="DejaVu Sans"/>
          <w:bCs/>
          <w:lang w:val="en-GB"/>
        </w:rPr>
      </w:pPr>
      <w:r w:rsidRPr="00CA2D4E">
        <w:rPr>
          <w:rFonts w:eastAsia="DejaVu Sans"/>
          <w:bCs/>
          <w:lang w:val="en-GB"/>
        </w:rPr>
        <w:t>Macroeconomics</w:t>
      </w:r>
    </w:p>
    <w:p w14:paraId="37BD91B0" w14:textId="77777777" w:rsidR="002757FB" w:rsidRPr="00CA2D4E" w:rsidRDefault="002757FB" w:rsidP="002757FB">
      <w:pPr>
        <w:jc w:val="both"/>
        <w:rPr>
          <w:rFonts w:eastAsia="DejaVu Sans"/>
          <w:bCs/>
          <w:lang w:val="en-GB"/>
        </w:rPr>
      </w:pPr>
      <w:r w:rsidRPr="00CA2D4E">
        <w:rPr>
          <w:rFonts w:eastAsia="DejaVu Sans"/>
          <w:bCs/>
          <w:lang w:val="en-GB"/>
        </w:rPr>
        <w:t>Applied economics</w:t>
      </w:r>
    </w:p>
    <w:p w14:paraId="14D4834B" w14:textId="77777777" w:rsidR="002757FB" w:rsidRPr="00CA2D4E" w:rsidRDefault="002757FB" w:rsidP="00610A1D">
      <w:pPr>
        <w:jc w:val="both"/>
        <w:rPr>
          <w:rFonts w:eastAsia="DejaVu Sans"/>
          <w:bCs/>
          <w:lang w:val="en-GB"/>
        </w:rPr>
      </w:pPr>
    </w:p>
    <w:p w14:paraId="61DF69DF" w14:textId="4E2B71CB" w:rsidR="00CA2D4E" w:rsidRPr="00CA2D4E" w:rsidRDefault="00CA2D4E" w:rsidP="00610A1D">
      <w:pPr>
        <w:jc w:val="both"/>
        <w:rPr>
          <w:rFonts w:ascii="DejaVu Sans" w:eastAsia="DejaVu Sans" w:hAnsi="DejaVu Sans" w:cs="DejaVu Sans"/>
          <w:b/>
          <w:color w:val="0B5294"/>
          <w:lang w:val="en-GB"/>
        </w:rPr>
      </w:pPr>
      <w:r w:rsidRPr="00CA2D4E">
        <w:rPr>
          <w:rFonts w:ascii="DejaVu Sans" w:eastAsia="DejaVu Sans" w:hAnsi="DejaVu Sans" w:cs="DejaVu Sans"/>
          <w:b/>
          <w:color w:val="0B5294"/>
          <w:lang w:val="en-GB"/>
        </w:rPr>
        <w:t>TEACHING AREAS</w:t>
      </w:r>
    </w:p>
    <w:tbl>
      <w:tblPr>
        <w:tblW w:w="1118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2494"/>
        <w:gridCol w:w="1374"/>
        <w:gridCol w:w="190"/>
        <w:gridCol w:w="1374"/>
        <w:gridCol w:w="2832"/>
        <w:gridCol w:w="972"/>
        <w:gridCol w:w="254"/>
        <w:gridCol w:w="63"/>
      </w:tblGrid>
      <w:tr w:rsidR="00CA2D4E" w14:paraId="3066B837" w14:textId="77777777" w:rsidTr="00CA2D4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2759C" w14:textId="4617FF4D" w:rsidR="002757FB" w:rsidRPr="00CA2D4E" w:rsidRDefault="002757FB" w:rsidP="00AD315F">
            <w:pPr>
              <w:jc w:val="both"/>
              <w:rPr>
                <w:rFonts w:eastAsia="DejaVu Sans"/>
                <w:color w:val="000000"/>
              </w:rPr>
            </w:pPr>
            <w:r w:rsidRPr="00CA2D4E">
              <w:rPr>
                <w:rFonts w:eastAsia="DejaVu Sans"/>
                <w:color w:val="000000"/>
              </w:rPr>
              <w:t>International Finance</w:t>
            </w:r>
          </w:p>
        </w:tc>
      </w:tr>
      <w:tr w:rsidR="00CA2D4E" w14:paraId="43C7ED38" w14:textId="77777777" w:rsidTr="00CA2D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627" w:type="dxa"/>
          </w:tcPr>
          <w:p w14:paraId="6FB5E7F3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14:paraId="30904A8B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2A887450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90" w:type="dxa"/>
          </w:tcPr>
          <w:p w14:paraId="4FE2F548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50E8AB4A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14:paraId="09001173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62AA1AE7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54" w:type="dxa"/>
          </w:tcPr>
          <w:p w14:paraId="32D6FD9D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3" w:type="dxa"/>
          </w:tcPr>
          <w:p w14:paraId="7CCC46E0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CA2D4E" w:rsidRPr="00CA2D4E" w14:paraId="3F9AE49B" w14:textId="77777777" w:rsidTr="00CA2D4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C5DA1" w14:textId="1438A6AA" w:rsidR="00CA2D4E" w:rsidRPr="00CA2D4E" w:rsidRDefault="00CA2D4E" w:rsidP="00AD315F">
            <w:pPr>
              <w:jc w:val="both"/>
              <w:rPr>
                <w:rFonts w:eastAsia="DejaVu Sans"/>
                <w:color w:val="000000"/>
                <w:lang w:val="en-GB"/>
              </w:rPr>
            </w:pPr>
            <w:r w:rsidRPr="00CA2D4E">
              <w:rPr>
                <w:rFonts w:eastAsia="DejaVu Sans"/>
                <w:color w:val="000000"/>
                <w:lang w:val="en-GB"/>
              </w:rPr>
              <w:t>Derivatives</w:t>
            </w:r>
          </w:p>
          <w:p w14:paraId="7565CF49" w14:textId="6293D2D7" w:rsidR="002757FB" w:rsidRDefault="002757FB" w:rsidP="00AD315F">
            <w:pPr>
              <w:jc w:val="both"/>
              <w:rPr>
                <w:rFonts w:eastAsia="DejaVu Sans"/>
                <w:color w:val="000000"/>
                <w:lang w:val="en-GB"/>
              </w:rPr>
            </w:pPr>
            <w:r>
              <w:rPr>
                <w:rFonts w:eastAsia="DejaVu Sans"/>
                <w:color w:val="000000"/>
                <w:lang w:val="en-GB"/>
              </w:rPr>
              <w:t>Risk Management</w:t>
            </w:r>
          </w:p>
          <w:p w14:paraId="67E46245" w14:textId="15B2F82D" w:rsidR="00CA2D4E" w:rsidRPr="002757FB" w:rsidRDefault="00CA2D4E" w:rsidP="00AD315F">
            <w:pPr>
              <w:jc w:val="both"/>
              <w:rPr>
                <w:rFonts w:eastAsia="DejaVu Sans"/>
                <w:color w:val="000000"/>
                <w:lang w:val="en-GB"/>
              </w:rPr>
            </w:pPr>
            <w:r w:rsidRPr="00CA2D4E">
              <w:rPr>
                <w:rFonts w:eastAsia="DejaVu Sans"/>
                <w:color w:val="000000"/>
                <w:lang w:val="en-GB"/>
              </w:rPr>
              <w:t>Risk measurement</w:t>
            </w:r>
            <w:r w:rsidR="002757FB">
              <w:rPr>
                <w:rFonts w:eastAsia="DejaVu Sans"/>
                <w:color w:val="000000"/>
                <w:lang w:val="en-GB"/>
              </w:rPr>
              <w:t xml:space="preserve"> and Value at Risk</w:t>
            </w:r>
          </w:p>
        </w:tc>
      </w:tr>
      <w:tr w:rsidR="00CA2D4E" w:rsidRPr="00CA2D4E" w14:paraId="3946FD1A" w14:textId="77777777" w:rsidTr="00CA2D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627" w:type="dxa"/>
          </w:tcPr>
          <w:p w14:paraId="3440EB98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94" w:type="dxa"/>
          </w:tcPr>
          <w:p w14:paraId="399B0587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374" w:type="dxa"/>
          </w:tcPr>
          <w:p w14:paraId="0B2FE7AF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90" w:type="dxa"/>
          </w:tcPr>
          <w:p w14:paraId="47D7DDAB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374" w:type="dxa"/>
          </w:tcPr>
          <w:p w14:paraId="3F5FD2B2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832" w:type="dxa"/>
          </w:tcPr>
          <w:p w14:paraId="5A22CDE1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972" w:type="dxa"/>
          </w:tcPr>
          <w:p w14:paraId="04411B11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4" w:type="dxa"/>
          </w:tcPr>
          <w:p w14:paraId="50B804FC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63" w:type="dxa"/>
          </w:tcPr>
          <w:p w14:paraId="3EA41F06" w14:textId="77777777" w:rsidR="00CA2D4E" w:rsidRPr="00CA2D4E" w:rsidRDefault="00CA2D4E" w:rsidP="00AD315F">
            <w:pPr>
              <w:pStyle w:val="EMPTYCELLSTYLE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CA2D4E" w14:paraId="0ED7F572" w14:textId="77777777" w:rsidTr="00CA2D4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2903" w14:textId="77777777" w:rsidR="002757FB" w:rsidRDefault="002757FB" w:rsidP="00CA2D4E">
            <w:pPr>
              <w:jc w:val="both"/>
              <w:rPr>
                <w:rFonts w:eastAsia="DejaVu Sans"/>
                <w:color w:val="000000"/>
              </w:rPr>
            </w:pPr>
            <w:r w:rsidRPr="00CA2D4E">
              <w:rPr>
                <w:rFonts w:eastAsia="DejaVu Sans"/>
                <w:color w:val="000000"/>
                <w:lang w:val="en-GB"/>
              </w:rPr>
              <w:t>Micro &amp; Macroeconomics</w:t>
            </w:r>
          </w:p>
          <w:p w14:paraId="2685BFED" w14:textId="77777777" w:rsidR="00CA2D4E" w:rsidRDefault="00CA2D4E" w:rsidP="00CA2D4E">
            <w:pPr>
              <w:jc w:val="both"/>
              <w:rPr>
                <w:rFonts w:eastAsia="DejaVu Sans"/>
                <w:color w:val="000000"/>
              </w:rPr>
            </w:pPr>
            <w:r>
              <w:rPr>
                <w:rFonts w:eastAsia="DejaVu Sans"/>
                <w:color w:val="000000"/>
              </w:rPr>
              <w:t xml:space="preserve">Monetary </w:t>
            </w:r>
            <w:r w:rsidR="002757FB">
              <w:rPr>
                <w:rFonts w:eastAsia="DejaVu Sans"/>
                <w:color w:val="000000"/>
              </w:rPr>
              <w:t>E</w:t>
            </w:r>
            <w:r>
              <w:rPr>
                <w:rFonts w:eastAsia="DejaVu Sans"/>
                <w:color w:val="000000"/>
              </w:rPr>
              <w:t>conomics</w:t>
            </w:r>
          </w:p>
          <w:p w14:paraId="3B001FFD" w14:textId="1A1E63D3" w:rsidR="002757FB" w:rsidRPr="00CA2D4E" w:rsidRDefault="002757FB" w:rsidP="00CA2D4E">
            <w:pPr>
              <w:jc w:val="both"/>
            </w:pPr>
            <w:r>
              <w:rPr>
                <w:rFonts w:eastAsia="DejaVu Sans"/>
                <w:color w:val="000000"/>
              </w:rPr>
              <w:t>Cryptocurrencies &amp; Decentralized Finance</w:t>
            </w:r>
          </w:p>
        </w:tc>
      </w:tr>
      <w:tr w:rsidR="00CA2D4E" w14:paraId="6450FF2A" w14:textId="77777777" w:rsidTr="00CA2D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627" w:type="dxa"/>
          </w:tcPr>
          <w:p w14:paraId="0DEFC34D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14:paraId="42240CE1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7C0EFE82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90" w:type="dxa"/>
          </w:tcPr>
          <w:p w14:paraId="6646BB35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4288D55E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14:paraId="166E4D52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2098F1EC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54" w:type="dxa"/>
          </w:tcPr>
          <w:p w14:paraId="2685A7E1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3" w:type="dxa"/>
          </w:tcPr>
          <w:p w14:paraId="70861E9A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CA2D4E" w14:paraId="1EE47921" w14:textId="77777777" w:rsidTr="00CA2D4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A6F65" w14:textId="16322723" w:rsidR="00CA2D4E" w:rsidRDefault="00CA2D4E" w:rsidP="00CA2D4E">
            <w:pPr>
              <w:jc w:val="both"/>
              <w:rPr>
                <w:rFonts w:eastAsia="DejaVu Sans"/>
                <w:color w:val="000000"/>
              </w:rPr>
            </w:pPr>
            <w:r w:rsidRPr="00CA2D4E">
              <w:rPr>
                <w:rFonts w:eastAsia="DejaVu Sans"/>
                <w:color w:val="000000"/>
              </w:rPr>
              <w:t>Banking</w:t>
            </w:r>
          </w:p>
          <w:p w14:paraId="1259ECF7" w14:textId="7E296C71" w:rsidR="00CA2D4E" w:rsidRPr="00CA2D4E" w:rsidRDefault="00CA2D4E" w:rsidP="00CA2D4E">
            <w:pPr>
              <w:jc w:val="both"/>
            </w:pPr>
            <w:r w:rsidRPr="00CA2D4E">
              <w:rPr>
                <w:rFonts w:eastAsia="DejaVu Sans"/>
                <w:color w:val="000000"/>
              </w:rPr>
              <w:t xml:space="preserve">Applied </w:t>
            </w:r>
            <w:r w:rsidR="002757FB">
              <w:rPr>
                <w:rFonts w:eastAsia="DejaVu Sans"/>
                <w:color w:val="000000"/>
              </w:rPr>
              <w:t>M</w:t>
            </w:r>
            <w:r w:rsidRPr="00CA2D4E">
              <w:rPr>
                <w:rFonts w:eastAsia="DejaVu Sans"/>
                <w:color w:val="000000"/>
              </w:rPr>
              <w:t>athematics</w:t>
            </w:r>
          </w:p>
        </w:tc>
      </w:tr>
      <w:tr w:rsidR="00CA2D4E" w14:paraId="4502520F" w14:textId="77777777" w:rsidTr="00CA2D4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627" w:type="dxa"/>
          </w:tcPr>
          <w:p w14:paraId="3E079FB6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14:paraId="4586CFD9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5FE0A3A7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90" w:type="dxa"/>
          </w:tcPr>
          <w:p w14:paraId="47F3261E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14:paraId="560A2EAE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</w:tcPr>
          <w:p w14:paraId="5FADA49F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</w:tcPr>
          <w:p w14:paraId="239158AE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254" w:type="dxa"/>
          </w:tcPr>
          <w:p w14:paraId="1A03DACA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  <w:tc>
          <w:tcPr>
            <w:tcW w:w="63" w:type="dxa"/>
          </w:tcPr>
          <w:p w14:paraId="20ED271D" w14:textId="77777777" w:rsidR="00CA2D4E" w:rsidRPr="00CA2D4E" w:rsidRDefault="00CA2D4E" w:rsidP="00CA2D4E">
            <w:pPr>
              <w:pStyle w:val="EMPTYCELLSTYLE"/>
              <w:rPr>
                <w:rFonts w:ascii="Times New Roman" w:hAnsi="Times New Roman" w:cs="Times New Roman"/>
              </w:rPr>
            </w:pPr>
          </w:p>
        </w:tc>
      </w:tr>
      <w:tr w:rsidR="00CA2D4E" w14:paraId="42B747C2" w14:textId="77777777" w:rsidTr="00CA2D4E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18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2F114" w14:textId="619903A9" w:rsidR="00CA2D4E" w:rsidRPr="00CA2D4E" w:rsidRDefault="00CA2D4E" w:rsidP="00CA2D4E">
            <w:pPr>
              <w:jc w:val="both"/>
            </w:pPr>
            <w:r w:rsidRPr="00CA2D4E">
              <w:rPr>
                <w:rFonts w:eastAsia="DejaVu Sans"/>
                <w:color w:val="000000"/>
              </w:rPr>
              <w:t>Statistics</w:t>
            </w:r>
          </w:p>
        </w:tc>
      </w:tr>
    </w:tbl>
    <w:p w14:paraId="1299E55B" w14:textId="77777777" w:rsidR="00CA2D4E" w:rsidRDefault="00CA2D4E" w:rsidP="00610A1D">
      <w:pPr>
        <w:jc w:val="both"/>
        <w:rPr>
          <w:rFonts w:ascii="DejaVu Sans" w:eastAsia="DejaVu Sans" w:hAnsi="DejaVu Sans" w:cs="DejaVu Sans"/>
          <w:b/>
          <w:color w:val="0B5294"/>
          <w:lang w:val="en-GB"/>
        </w:rPr>
      </w:pPr>
    </w:p>
    <w:p w14:paraId="3CA86A96" w14:textId="3701F9F8" w:rsidR="00085879" w:rsidRPr="00CA2D4E" w:rsidRDefault="00CA2D4E" w:rsidP="00610A1D">
      <w:pPr>
        <w:jc w:val="both"/>
        <w:rPr>
          <w:sz w:val="28"/>
          <w:szCs w:val="28"/>
          <w:bdr w:val="single" w:sz="4" w:space="0" w:color="auto" w:shadow="1"/>
          <w:lang w:val="en-GB"/>
        </w:rPr>
      </w:pPr>
      <w:r w:rsidRPr="00CA2D4E">
        <w:rPr>
          <w:rFonts w:ascii="DejaVu Sans" w:eastAsia="DejaVu Sans" w:hAnsi="DejaVu Sans" w:cs="DejaVu Sans"/>
          <w:b/>
          <w:color w:val="0B5294"/>
          <w:lang w:val="en-GB"/>
        </w:rPr>
        <w:t>SCIENTIFIC PUBLICATIONS</w:t>
      </w:r>
    </w:p>
    <w:p w14:paraId="5869FAA8" w14:textId="77777777" w:rsidR="002757FB" w:rsidRDefault="002757FB" w:rsidP="00DE5FAC">
      <w:pPr>
        <w:shd w:val="clear" w:color="auto" w:fill="FFFFFF"/>
        <w:ind w:left="284" w:hanging="284"/>
        <w:jc w:val="both"/>
        <w:rPr>
          <w:rFonts w:ascii="DejaVu Sans" w:eastAsia="DejaVu Sans" w:hAnsi="DejaVu Sans" w:cs="DejaVu Sans"/>
          <w:b/>
          <w:color w:val="889532"/>
          <w:sz w:val="22"/>
          <w:lang w:val="en-GB"/>
        </w:rPr>
      </w:pPr>
    </w:p>
    <w:p w14:paraId="759D5967" w14:textId="1AF587DD" w:rsidR="00CA2D4E" w:rsidRDefault="00CA2D4E" w:rsidP="00DE5FAC">
      <w:pPr>
        <w:shd w:val="clear" w:color="auto" w:fill="FFFFFF"/>
        <w:ind w:left="284" w:hanging="284"/>
        <w:jc w:val="both"/>
        <w:rPr>
          <w:lang w:val="en-GB"/>
        </w:rPr>
      </w:pPr>
      <w:r w:rsidRPr="00CA2D4E">
        <w:rPr>
          <w:rFonts w:ascii="DejaVu Sans" w:eastAsia="DejaVu Sans" w:hAnsi="DejaVu Sans" w:cs="DejaVu Sans"/>
          <w:b/>
          <w:color w:val="889532"/>
          <w:sz w:val="22"/>
          <w:lang w:val="en-GB"/>
        </w:rPr>
        <w:t>Ranked articles</w:t>
      </w:r>
    </w:p>
    <w:p w14:paraId="4560126A" w14:textId="77777777" w:rsidR="00CB27D9" w:rsidRDefault="00CB27D9" w:rsidP="004C5E31">
      <w:pPr>
        <w:shd w:val="clear" w:color="auto" w:fill="FFFFFF"/>
        <w:ind w:left="284" w:hanging="284"/>
        <w:jc w:val="both"/>
        <w:rPr>
          <w:lang w:val="en-US"/>
        </w:rPr>
      </w:pPr>
      <w:r w:rsidRPr="002E23A9">
        <w:rPr>
          <w:lang w:val="en-US"/>
        </w:rPr>
        <w:t>Mutascu M.</w:t>
      </w:r>
      <w:r>
        <w:rPr>
          <w:lang w:val="en-US"/>
        </w:rPr>
        <w:t>, Strango</w:t>
      </w:r>
      <w:r w:rsidR="00A62303">
        <w:rPr>
          <w:lang w:val="en-US"/>
        </w:rPr>
        <w:t xml:space="preserve"> C., and </w:t>
      </w:r>
      <w:r w:rsidR="00A62303" w:rsidRPr="000A1A65">
        <w:rPr>
          <w:b/>
          <w:lang w:val="en-US"/>
        </w:rPr>
        <w:t>Sokic A.</w:t>
      </w:r>
      <w:r w:rsidR="00F374C2" w:rsidRPr="00F374C2">
        <w:rPr>
          <w:lang w:val="en-US"/>
        </w:rPr>
        <w:t xml:space="preserve"> (2024)</w:t>
      </w:r>
      <w:r w:rsidRPr="002E23A9">
        <w:rPr>
          <w:lang w:val="en-US"/>
        </w:rPr>
        <w:t>, “</w:t>
      </w:r>
      <w:r>
        <w:rPr>
          <w:lang w:val="en-GB"/>
        </w:rPr>
        <w:t>Demand f</w:t>
      </w:r>
      <w:r w:rsidR="00A2732D">
        <w:rPr>
          <w:lang w:val="en-GB"/>
        </w:rPr>
        <w:t>or electric cars and oil prices:</w:t>
      </w:r>
      <w:r w:rsidR="00EB6914">
        <w:rPr>
          <w:lang w:val="en-GB"/>
        </w:rPr>
        <w:t xml:space="preserve"> </w:t>
      </w:r>
      <w:r>
        <w:rPr>
          <w:lang w:val="en-GB"/>
        </w:rPr>
        <w:t>a wavelet approach</w:t>
      </w:r>
      <w:r w:rsidR="004C5E31">
        <w:rPr>
          <w:rFonts w:eastAsia="ArialUnicodeMS"/>
          <w:lang w:val="en-US" w:eastAsia="en-US"/>
        </w:rPr>
        <w:t xml:space="preserve">”, </w:t>
      </w:r>
      <w:r w:rsidR="008D12C5">
        <w:rPr>
          <w:i/>
          <w:lang w:val="en-GB"/>
        </w:rPr>
        <w:t>International Journal of Green Energy</w:t>
      </w:r>
      <w:r w:rsidR="004C5E31">
        <w:rPr>
          <w:i/>
          <w:lang w:val="en-GB"/>
        </w:rPr>
        <w:t>,</w:t>
      </w:r>
      <w:r w:rsidR="00E55BBF">
        <w:rPr>
          <w:i/>
          <w:lang w:val="en-GB"/>
        </w:rPr>
        <w:t xml:space="preserve"> 21(15), pp. 3498-3520</w:t>
      </w:r>
      <w:r w:rsidR="00A2732D">
        <w:rPr>
          <w:i/>
          <w:lang w:val="en-GB"/>
        </w:rPr>
        <w:t xml:space="preserve">, </w:t>
      </w:r>
      <w:r w:rsidR="004C5E31" w:rsidRPr="00DC55A3">
        <w:rPr>
          <w:color w:val="212529"/>
          <w:shd w:val="clear" w:color="auto" w:fill="FFFFFF"/>
          <w:lang w:val="en-GB"/>
        </w:rPr>
        <w:t>http</w:t>
      </w:r>
      <w:r w:rsidR="004C5E31">
        <w:rPr>
          <w:color w:val="212529"/>
          <w:shd w:val="clear" w:color="auto" w:fill="FFFFFF"/>
          <w:lang w:val="en-GB"/>
        </w:rPr>
        <w:t>s://</w:t>
      </w:r>
      <w:r w:rsidR="004C5E31" w:rsidRPr="00DC55A3">
        <w:rPr>
          <w:color w:val="212529"/>
          <w:shd w:val="clear" w:color="auto" w:fill="FFFFFF"/>
          <w:lang w:val="en-GB"/>
        </w:rPr>
        <w:t>doi.org/10.</w:t>
      </w:r>
      <w:r w:rsidR="004C5E31">
        <w:rPr>
          <w:color w:val="212529"/>
          <w:shd w:val="clear" w:color="auto" w:fill="FFFFFF"/>
          <w:lang w:val="en-GB"/>
        </w:rPr>
        <w:t>1080/15435075.2024.2385420</w:t>
      </w:r>
      <w:r w:rsidR="004C5E31">
        <w:rPr>
          <w:rFonts w:eastAsia="ArialUnicodeMS"/>
          <w:lang w:val="en-US" w:eastAsia="en-US"/>
        </w:rPr>
        <w:t xml:space="preserve"> </w:t>
      </w:r>
      <w:r w:rsidR="00A56544">
        <w:rPr>
          <w:rFonts w:eastAsia="ArialUnicodeMS"/>
          <w:lang w:val="en-US" w:eastAsia="en-US"/>
        </w:rPr>
        <w:t xml:space="preserve">(ABS </w:t>
      </w:r>
      <w:r w:rsidR="008D12C5">
        <w:rPr>
          <w:rFonts w:eastAsia="ArialUnicodeMS"/>
          <w:lang w:val="en-US" w:eastAsia="en-US"/>
        </w:rPr>
        <w:t>2*</w:t>
      </w:r>
      <w:r w:rsidR="000F7554">
        <w:rPr>
          <w:rFonts w:eastAsia="ArialUnicodeMS"/>
          <w:lang w:val="en-US" w:eastAsia="en-US"/>
        </w:rPr>
        <w:t>)</w:t>
      </w:r>
    </w:p>
    <w:p w14:paraId="11AF5436" w14:textId="77777777" w:rsidR="003B0B5B" w:rsidRDefault="003B0B5B" w:rsidP="00CB27D9">
      <w:pPr>
        <w:shd w:val="clear" w:color="auto" w:fill="FFFFFF"/>
        <w:ind w:left="284" w:hanging="284"/>
        <w:jc w:val="both"/>
        <w:rPr>
          <w:lang w:val="en-US"/>
        </w:rPr>
      </w:pPr>
      <w:r w:rsidRPr="002E23A9">
        <w:rPr>
          <w:lang w:val="en-US"/>
        </w:rPr>
        <w:t>Mutascu M.</w:t>
      </w:r>
      <w:r>
        <w:rPr>
          <w:lang w:val="en-US"/>
        </w:rPr>
        <w:t xml:space="preserve">, Strango C., and </w:t>
      </w:r>
      <w:r w:rsidRPr="003B0B5B">
        <w:rPr>
          <w:b/>
          <w:lang w:val="en-US"/>
        </w:rPr>
        <w:t>Sokic A</w:t>
      </w:r>
      <w:r>
        <w:rPr>
          <w:lang w:val="en-US"/>
        </w:rPr>
        <w:t>. (2024)</w:t>
      </w:r>
      <w:r w:rsidRPr="002E23A9">
        <w:rPr>
          <w:lang w:val="en-US"/>
        </w:rPr>
        <w:t>, “</w:t>
      </w:r>
      <w:r w:rsidRPr="00C31D3F">
        <w:rPr>
          <w:lang w:val="en-GB"/>
        </w:rPr>
        <w:t>Wildfires and wind plant turbines: a story never told</w:t>
      </w:r>
      <w:r w:rsidR="00DC55A3">
        <w:rPr>
          <w:rFonts w:eastAsia="ArialUnicodeMS"/>
          <w:lang w:val="en-US" w:eastAsia="en-US"/>
        </w:rPr>
        <w:t xml:space="preserve">”, </w:t>
      </w:r>
      <w:r>
        <w:rPr>
          <w:rFonts w:eastAsia="ArialUnicodeMS"/>
          <w:i/>
          <w:lang w:val="en-US" w:eastAsia="en-US"/>
        </w:rPr>
        <w:t>Journal of Forest Economics</w:t>
      </w:r>
      <w:r w:rsidR="002B19C1">
        <w:rPr>
          <w:rFonts w:eastAsia="ArialUnicodeMS"/>
          <w:i/>
          <w:lang w:val="en-US" w:eastAsia="en-US"/>
        </w:rPr>
        <w:t>, v</w:t>
      </w:r>
      <w:r w:rsidR="00461A15">
        <w:rPr>
          <w:rFonts w:eastAsia="ArialUnicodeMS"/>
          <w:i/>
          <w:lang w:val="en-US" w:eastAsia="en-US"/>
        </w:rPr>
        <w:t>ol.</w:t>
      </w:r>
      <w:r w:rsidR="00DC55A3">
        <w:rPr>
          <w:rFonts w:eastAsia="ArialUnicodeMS"/>
          <w:i/>
          <w:lang w:val="en-US" w:eastAsia="en-US"/>
        </w:rPr>
        <w:t>39</w:t>
      </w:r>
      <w:r w:rsidR="00461A15">
        <w:rPr>
          <w:rFonts w:eastAsia="ArialUnicodeMS"/>
          <w:i/>
          <w:lang w:val="en-US" w:eastAsia="en-US"/>
        </w:rPr>
        <w:t xml:space="preserve"> </w:t>
      </w:r>
      <w:r w:rsidR="00461A15">
        <w:rPr>
          <w:color w:val="212529"/>
          <w:shd w:val="clear" w:color="auto" w:fill="FFFFFF"/>
          <w:lang w:val="en-GB"/>
        </w:rPr>
        <w:t>(</w:t>
      </w:r>
      <w:r w:rsidR="00461A15" w:rsidRPr="00461A15">
        <w:rPr>
          <w:color w:val="212529"/>
          <w:shd w:val="clear" w:color="auto" w:fill="FFFFFF"/>
          <w:lang w:val="en-GB"/>
        </w:rPr>
        <w:t>3</w:t>
      </w:r>
      <w:r w:rsidR="00461A15">
        <w:rPr>
          <w:color w:val="212529"/>
          <w:shd w:val="clear" w:color="auto" w:fill="FFFFFF"/>
          <w:lang w:val="en-GB"/>
        </w:rPr>
        <w:t>), pp.</w:t>
      </w:r>
      <w:r w:rsidR="00461A15" w:rsidRPr="00461A15">
        <w:rPr>
          <w:color w:val="212529"/>
          <w:shd w:val="clear" w:color="auto" w:fill="FFFFFF"/>
          <w:lang w:val="en-GB"/>
        </w:rPr>
        <w:t>205-237</w:t>
      </w:r>
      <w:r w:rsidR="00DC55A3" w:rsidRPr="00461A15">
        <w:rPr>
          <w:rFonts w:eastAsia="ArialUnicodeMS"/>
          <w:i/>
          <w:lang w:val="en-US" w:eastAsia="en-US"/>
        </w:rPr>
        <w:t>,</w:t>
      </w:r>
      <w:r w:rsidR="00461A15">
        <w:rPr>
          <w:color w:val="212529"/>
          <w:sz w:val="20"/>
          <w:szCs w:val="20"/>
          <w:shd w:val="clear" w:color="auto" w:fill="FFFFFF"/>
          <w:lang w:val="en-GB"/>
        </w:rPr>
        <w:t xml:space="preserve"> </w:t>
      </w:r>
      <w:r w:rsidR="00DC55A3" w:rsidRPr="00DC55A3">
        <w:rPr>
          <w:color w:val="212529"/>
          <w:shd w:val="clear" w:color="auto" w:fill="FFFFFF"/>
          <w:lang w:val="en-GB"/>
        </w:rPr>
        <w:t>http://dx.doi.org/10.1561/112.00000578</w:t>
      </w:r>
      <w:r>
        <w:rPr>
          <w:rFonts w:eastAsia="ArialUnicodeMS"/>
          <w:i/>
          <w:lang w:val="en-US" w:eastAsia="en-US"/>
        </w:rPr>
        <w:t xml:space="preserve"> </w:t>
      </w:r>
      <w:r>
        <w:rPr>
          <w:rFonts w:eastAsia="ArialUnicodeMS"/>
          <w:lang w:val="en-US" w:eastAsia="en-US"/>
        </w:rPr>
        <w:t>(ABS 2*)</w:t>
      </w:r>
    </w:p>
    <w:p w14:paraId="0E3E5E15" w14:textId="77777777" w:rsidR="00CB27D9" w:rsidRPr="00927605" w:rsidRDefault="00CB27D9" w:rsidP="00CB27D9">
      <w:pPr>
        <w:shd w:val="clear" w:color="auto" w:fill="FFFFFF"/>
        <w:ind w:left="284" w:hanging="284"/>
        <w:jc w:val="both"/>
        <w:rPr>
          <w:lang w:val="en-GB"/>
        </w:rPr>
      </w:pPr>
      <w:r w:rsidRPr="002E23A9">
        <w:rPr>
          <w:lang w:val="en-US"/>
        </w:rPr>
        <w:lastRenderedPageBreak/>
        <w:t>Mutascu M.</w:t>
      </w:r>
      <w:r w:rsidR="00CA1A70">
        <w:rPr>
          <w:lang w:val="en-US"/>
        </w:rPr>
        <w:t xml:space="preserve"> and </w:t>
      </w:r>
      <w:r w:rsidR="00CA1A70" w:rsidRPr="00CA1A70">
        <w:rPr>
          <w:b/>
          <w:lang w:val="en-US"/>
        </w:rPr>
        <w:t>Sokic A.</w:t>
      </w:r>
      <w:r w:rsidR="00CA1A70">
        <w:rPr>
          <w:lang w:val="en-US"/>
        </w:rPr>
        <w:t xml:space="preserve"> (</w:t>
      </w:r>
      <w:r>
        <w:rPr>
          <w:lang w:val="en-US"/>
        </w:rPr>
        <w:t>2023</w:t>
      </w:r>
      <w:r w:rsidRPr="002E23A9">
        <w:rPr>
          <w:lang w:val="en-US"/>
        </w:rPr>
        <w:t>), “</w:t>
      </w:r>
      <w:r w:rsidRPr="00CD37ED">
        <w:rPr>
          <w:lang w:val="en-GB"/>
        </w:rPr>
        <w:t>Do online social networks affect information asymmetry?</w:t>
      </w:r>
      <w:r w:rsidR="00927605">
        <w:rPr>
          <w:rFonts w:eastAsia="ArialUnicodeMS"/>
          <w:lang w:val="en-US" w:eastAsia="en-US"/>
        </w:rPr>
        <w:t xml:space="preserve">”, </w:t>
      </w:r>
      <w:r w:rsidRPr="00CD37ED">
        <w:rPr>
          <w:i/>
          <w:lang w:val="en-GB"/>
        </w:rPr>
        <w:t>Online Journal of Applied Knowledge Management</w:t>
      </w:r>
      <w:r w:rsidR="00927605">
        <w:rPr>
          <w:lang w:val="en-GB"/>
        </w:rPr>
        <w:t>, vol.11 (2), pp.1-24</w:t>
      </w:r>
      <w:r>
        <w:rPr>
          <w:lang w:val="en-US"/>
        </w:rPr>
        <w:t xml:space="preserve"> (ABS 1*</w:t>
      </w:r>
      <w:r w:rsidRPr="002C6B29">
        <w:rPr>
          <w:lang w:val="en-US"/>
        </w:rPr>
        <w:t>)</w:t>
      </w:r>
      <w:r w:rsidR="00927605">
        <w:rPr>
          <w:lang w:val="en-US"/>
        </w:rPr>
        <w:t>,</w:t>
      </w:r>
      <w:r w:rsidR="00927605" w:rsidRPr="00927605">
        <w:rPr>
          <w:rFonts w:ascii="Calibri-Italic" w:eastAsiaTheme="minorHAnsi" w:hAnsi="Calibri-Italic" w:cs="Calibri-Italic"/>
          <w:i/>
          <w:iCs/>
          <w:color w:val="0000FF"/>
          <w:sz w:val="18"/>
          <w:szCs w:val="18"/>
          <w:lang w:val="en-GB" w:eastAsia="en-US"/>
        </w:rPr>
        <w:t xml:space="preserve"> </w:t>
      </w:r>
      <w:r w:rsidR="00927605" w:rsidRPr="00927605">
        <w:rPr>
          <w:rFonts w:eastAsiaTheme="minorHAnsi"/>
          <w:iCs/>
          <w:lang w:val="en-GB" w:eastAsia="en-US"/>
        </w:rPr>
        <w:t>https://doi.org/10.36965/OJAKM.2023.11(2)1-24</w:t>
      </w:r>
    </w:p>
    <w:p w14:paraId="09AC0387" w14:textId="77777777" w:rsidR="00F216B7" w:rsidRDefault="00A62303" w:rsidP="00AD735C">
      <w:pPr>
        <w:shd w:val="clear" w:color="auto" w:fill="FFFFFF"/>
        <w:ind w:left="284" w:hanging="284"/>
        <w:jc w:val="both"/>
        <w:rPr>
          <w:lang w:val="en-US"/>
        </w:rPr>
      </w:pPr>
      <w:r w:rsidRPr="002E23A9">
        <w:rPr>
          <w:lang w:val="en-US"/>
        </w:rPr>
        <w:t>Mutascu M.</w:t>
      </w:r>
      <w:r>
        <w:rPr>
          <w:lang w:val="en-US"/>
        </w:rPr>
        <w:t xml:space="preserve"> and </w:t>
      </w:r>
      <w:r w:rsidRPr="00CA1A70">
        <w:rPr>
          <w:b/>
          <w:lang w:val="en-US"/>
        </w:rPr>
        <w:t>Sokic A</w:t>
      </w:r>
      <w:r>
        <w:rPr>
          <w:lang w:val="en-US"/>
        </w:rPr>
        <w:t>. (2023</w:t>
      </w:r>
      <w:r w:rsidRPr="002E23A9">
        <w:rPr>
          <w:lang w:val="en-US"/>
        </w:rPr>
        <w:t>), “</w:t>
      </w:r>
      <w:r>
        <w:rPr>
          <w:lang w:val="en-US"/>
        </w:rPr>
        <w:t>Air transportation under</w:t>
      </w:r>
      <w:r w:rsidR="00A846DA">
        <w:rPr>
          <w:lang w:val="en-US"/>
        </w:rPr>
        <w:t xml:space="preserve"> the COVID-19 pandemic restrictions</w:t>
      </w:r>
      <w:r>
        <w:rPr>
          <w:lang w:val="en-US"/>
        </w:rPr>
        <w:t xml:space="preserve">: </w:t>
      </w:r>
      <w:r w:rsidR="003B6B26">
        <w:rPr>
          <w:lang w:val="en-US"/>
        </w:rPr>
        <w:t>A</w:t>
      </w:r>
      <w:r w:rsidR="00A846DA">
        <w:rPr>
          <w:lang w:val="en-US"/>
        </w:rPr>
        <w:t xml:space="preserve"> wavelet analysis</w:t>
      </w:r>
      <w:r w:rsidR="00275EDE">
        <w:rPr>
          <w:rFonts w:eastAsia="ArialUnicodeMS"/>
          <w:lang w:val="en-US" w:eastAsia="en-US"/>
        </w:rPr>
        <w:t>”,</w:t>
      </w:r>
      <w:r>
        <w:rPr>
          <w:rFonts w:eastAsia="ArialUnicodeMS"/>
          <w:lang w:val="en-US" w:eastAsia="en-US"/>
        </w:rPr>
        <w:t xml:space="preserve"> </w:t>
      </w:r>
      <w:r>
        <w:rPr>
          <w:i/>
          <w:lang w:val="en-US"/>
        </w:rPr>
        <w:t>Transport Policy</w:t>
      </w:r>
      <w:r w:rsidR="00275EDE">
        <w:rPr>
          <w:color w:val="2E2E2E"/>
          <w:lang w:val="en-GB"/>
        </w:rPr>
        <w:t>,</w:t>
      </w:r>
      <w:r w:rsidR="002B19C1">
        <w:rPr>
          <w:color w:val="2E2E2E"/>
          <w:lang w:val="en-GB"/>
        </w:rPr>
        <w:t xml:space="preserve"> 139,</w:t>
      </w:r>
      <w:r w:rsidR="00275EDE">
        <w:rPr>
          <w:color w:val="2E2E2E"/>
          <w:lang w:val="en-GB"/>
        </w:rPr>
        <w:t xml:space="preserve"> pp.</w:t>
      </w:r>
      <w:r w:rsidR="00275EDE" w:rsidRPr="00275EDE">
        <w:rPr>
          <w:color w:val="2E2E2E"/>
          <w:lang w:val="en-GB"/>
        </w:rPr>
        <w:t>155-181</w:t>
      </w:r>
      <w:r>
        <w:rPr>
          <w:lang w:val="en-US"/>
        </w:rPr>
        <w:t xml:space="preserve"> (ABS 2*, FNEGE 3</w:t>
      </w:r>
      <w:r w:rsidRPr="002C6B29">
        <w:rPr>
          <w:lang w:val="en-US"/>
        </w:rPr>
        <w:t>)</w:t>
      </w:r>
      <w:r w:rsidR="00275EDE">
        <w:rPr>
          <w:lang w:val="en-US"/>
        </w:rPr>
        <w:t xml:space="preserve">, </w:t>
      </w:r>
      <w:hyperlink r:id="rId7" w:tgtFrame="_blank" w:tooltip="Persistent link using digital object identifier" w:history="1">
        <w:r w:rsidR="00275EDE" w:rsidRPr="00275EDE">
          <w:rPr>
            <w:rStyle w:val="anchor-text"/>
            <w:lang w:val="en-GB"/>
          </w:rPr>
          <w:t>https://doi.org/10.1016/j.tranpol.2023.06.004</w:t>
        </w:r>
      </w:hyperlink>
    </w:p>
    <w:p w14:paraId="271018DA" w14:textId="77777777" w:rsidR="006F11AB" w:rsidRDefault="006F11AB" w:rsidP="00AD735C">
      <w:pPr>
        <w:shd w:val="clear" w:color="auto" w:fill="FFFFFF"/>
        <w:ind w:left="284" w:hanging="284"/>
        <w:jc w:val="both"/>
        <w:rPr>
          <w:lang w:val="en-US"/>
        </w:rPr>
      </w:pPr>
      <w:r w:rsidRPr="002C6B29">
        <w:rPr>
          <w:lang w:val="en-US"/>
        </w:rPr>
        <w:t xml:space="preserve">Mutascu M. and </w:t>
      </w:r>
      <w:r w:rsidRPr="00CA1A70">
        <w:rPr>
          <w:b/>
          <w:lang w:val="en-US"/>
        </w:rPr>
        <w:t>Sokic A</w:t>
      </w:r>
      <w:r w:rsidR="00E85C0D">
        <w:rPr>
          <w:lang w:val="en-US"/>
        </w:rPr>
        <w:t>. (2023</w:t>
      </w:r>
      <w:r w:rsidRPr="002C6B29">
        <w:rPr>
          <w:lang w:val="en-US"/>
        </w:rPr>
        <w:t xml:space="preserve">), “An extended wavelet approach of money-output link in </w:t>
      </w:r>
      <w:r w:rsidR="00A30D7A">
        <w:rPr>
          <w:lang w:val="en-US"/>
        </w:rPr>
        <w:t xml:space="preserve">the United States”, </w:t>
      </w:r>
      <w:r>
        <w:rPr>
          <w:i/>
          <w:lang w:val="en-US"/>
        </w:rPr>
        <w:t>Empirical Economics</w:t>
      </w:r>
      <w:r w:rsidR="00722EFD" w:rsidRPr="00AA2FA2">
        <w:rPr>
          <w:i/>
          <w:lang w:val="en-US"/>
        </w:rPr>
        <w:t>,</w:t>
      </w:r>
      <w:r w:rsidR="00722EFD" w:rsidRPr="002B19C1">
        <w:rPr>
          <w:lang w:val="en-US"/>
        </w:rPr>
        <w:t xml:space="preserve"> </w:t>
      </w:r>
      <w:r w:rsidR="00E85C0D" w:rsidRPr="002B19C1">
        <w:rPr>
          <w:lang w:val="en-US"/>
        </w:rPr>
        <w:t>v</w:t>
      </w:r>
      <w:r w:rsidR="00E85C0D">
        <w:rPr>
          <w:lang w:val="en-US"/>
        </w:rPr>
        <w:t xml:space="preserve">ol.64, pp.1647-1665 </w:t>
      </w:r>
      <w:r w:rsidR="00AA2FA2">
        <w:rPr>
          <w:lang w:val="en-US"/>
        </w:rPr>
        <w:t>(</w:t>
      </w:r>
      <w:r w:rsidR="003453D8">
        <w:rPr>
          <w:lang w:val="en-US"/>
        </w:rPr>
        <w:t>ABS 2</w:t>
      </w:r>
      <w:r>
        <w:rPr>
          <w:lang w:val="en-US"/>
        </w:rPr>
        <w:t>*</w:t>
      </w:r>
      <w:r w:rsidRPr="002C6B29">
        <w:rPr>
          <w:lang w:val="en-US"/>
        </w:rPr>
        <w:t>)</w:t>
      </w:r>
      <w:r w:rsidR="00AA2FA2">
        <w:rPr>
          <w:lang w:val="en-US"/>
        </w:rPr>
        <w:t xml:space="preserve">, </w:t>
      </w:r>
      <w:hyperlink r:id="rId8" w:history="1">
        <w:r w:rsidR="00AA2FA2" w:rsidRPr="00AA2FA2">
          <w:rPr>
            <w:rStyle w:val="Lienhypertexte"/>
            <w:color w:val="auto"/>
            <w:u w:val="none"/>
            <w:lang w:val="en-US"/>
          </w:rPr>
          <w:t>https://doi.org/10.1007/s00181-022-02294-6</w:t>
        </w:r>
      </w:hyperlink>
    </w:p>
    <w:p w14:paraId="2F962FA0" w14:textId="77777777" w:rsidR="00D63B34" w:rsidRDefault="00D63B34" w:rsidP="00AD735C">
      <w:pPr>
        <w:shd w:val="clear" w:color="auto" w:fill="FFFFFF"/>
        <w:ind w:left="284" w:hanging="284"/>
        <w:jc w:val="both"/>
        <w:rPr>
          <w:lang w:val="en-US"/>
        </w:rPr>
      </w:pPr>
      <w:r w:rsidRPr="002E23A9">
        <w:rPr>
          <w:lang w:val="en-US"/>
        </w:rPr>
        <w:t>Mutascu M.</w:t>
      </w:r>
      <w:r>
        <w:rPr>
          <w:lang w:val="en-US"/>
        </w:rPr>
        <w:t xml:space="preserve"> and </w:t>
      </w:r>
      <w:r w:rsidRPr="00CA1A70">
        <w:rPr>
          <w:b/>
          <w:lang w:val="en-US"/>
        </w:rPr>
        <w:t>Sokic A</w:t>
      </w:r>
      <w:r>
        <w:rPr>
          <w:lang w:val="en-US"/>
        </w:rPr>
        <w:t>. (2022</w:t>
      </w:r>
      <w:r w:rsidRPr="002E23A9">
        <w:rPr>
          <w:lang w:val="en-US"/>
        </w:rPr>
        <w:t>), “</w:t>
      </w:r>
      <w:r w:rsidRPr="00FE4349">
        <w:rPr>
          <w:lang w:val="en-GB"/>
        </w:rPr>
        <w:t>Revisiting the oil price and expected inflation in the U.S. - a wavelet approach</w:t>
      </w:r>
      <w:r w:rsidR="00D26D67">
        <w:rPr>
          <w:rFonts w:eastAsia="ArialUnicodeMS"/>
          <w:lang w:val="en-US" w:eastAsia="en-US"/>
        </w:rPr>
        <w:t>”,</w:t>
      </w:r>
      <w:r>
        <w:rPr>
          <w:rFonts w:eastAsia="ArialUnicodeMS"/>
          <w:lang w:val="en-US" w:eastAsia="en-US"/>
        </w:rPr>
        <w:t xml:space="preserve"> </w:t>
      </w:r>
      <w:r>
        <w:rPr>
          <w:rFonts w:eastAsia="ArialUnicodeMS"/>
          <w:i/>
          <w:lang w:val="en-US" w:eastAsia="en-US"/>
        </w:rPr>
        <w:t>Economics Bulletin</w:t>
      </w:r>
      <w:r w:rsidR="00D26D67">
        <w:rPr>
          <w:rFonts w:eastAsia="ArialUnicodeMS"/>
          <w:i/>
          <w:lang w:val="en-US" w:eastAsia="en-US"/>
        </w:rPr>
        <w:t>,</w:t>
      </w:r>
      <w:r w:rsidR="00D26D67">
        <w:rPr>
          <w:rFonts w:eastAsia="ArialUnicodeMS"/>
          <w:lang w:val="en-US" w:eastAsia="en-US"/>
        </w:rPr>
        <w:t xml:space="preserve"> 42 (2), pp. 959-964</w:t>
      </w:r>
      <w:r>
        <w:rPr>
          <w:rFonts w:eastAsia="ArialUnicodeMS"/>
          <w:i/>
          <w:lang w:val="en-US" w:eastAsia="en-US"/>
        </w:rPr>
        <w:t xml:space="preserve"> </w:t>
      </w:r>
      <w:r>
        <w:rPr>
          <w:lang w:val="en-US"/>
        </w:rPr>
        <w:t>(CNRS 3</w:t>
      </w:r>
      <w:r w:rsidRPr="002C6B29">
        <w:rPr>
          <w:lang w:val="en-US"/>
        </w:rPr>
        <w:t>)</w:t>
      </w:r>
    </w:p>
    <w:p w14:paraId="2FADCB18" w14:textId="77777777" w:rsidR="004C0B0C" w:rsidRDefault="004C0B0C" w:rsidP="00AD735C">
      <w:pPr>
        <w:shd w:val="clear" w:color="auto" w:fill="FFFFFF"/>
        <w:ind w:left="284" w:hanging="284"/>
        <w:jc w:val="both"/>
        <w:rPr>
          <w:lang w:val="en-US"/>
        </w:rPr>
      </w:pPr>
      <w:r w:rsidRPr="002C6B29">
        <w:rPr>
          <w:lang w:val="en-US"/>
        </w:rPr>
        <w:t xml:space="preserve">Mutascu M. and </w:t>
      </w:r>
      <w:r w:rsidRPr="00CA1A70">
        <w:rPr>
          <w:b/>
          <w:lang w:val="en-US"/>
        </w:rPr>
        <w:t>Sokic</w:t>
      </w:r>
      <w:r w:rsidR="009C2510" w:rsidRPr="00CA1A70">
        <w:rPr>
          <w:b/>
          <w:lang w:val="en-US"/>
        </w:rPr>
        <w:t xml:space="preserve"> A</w:t>
      </w:r>
      <w:r w:rsidR="009C2510">
        <w:rPr>
          <w:lang w:val="en-US"/>
        </w:rPr>
        <w:t>. (</w:t>
      </w:r>
      <w:r w:rsidR="00450C20">
        <w:rPr>
          <w:lang w:val="en-US"/>
        </w:rPr>
        <w:t>2021</w:t>
      </w:r>
      <w:r w:rsidRPr="002C6B29">
        <w:rPr>
          <w:lang w:val="en-US"/>
        </w:rPr>
        <w:t>), “</w:t>
      </w:r>
      <w:r w:rsidR="004534E3" w:rsidRPr="004C0B0C">
        <w:rPr>
          <w:lang w:val="en-GB" w:eastAsia="ro-RO"/>
        </w:rPr>
        <w:t>Okun's law in the US</w:t>
      </w:r>
      <w:r w:rsidR="004534E3">
        <w:rPr>
          <w:lang w:val="en-GB" w:eastAsia="ro-RO"/>
        </w:rPr>
        <w:t>: new insights in time and frequency</w:t>
      </w:r>
      <w:r w:rsidR="009C2510">
        <w:rPr>
          <w:lang w:val="en-US"/>
        </w:rPr>
        <w:t>”,</w:t>
      </w:r>
      <w:r w:rsidR="00450C20">
        <w:rPr>
          <w:lang w:val="en-US"/>
        </w:rPr>
        <w:t xml:space="preserve"> </w:t>
      </w:r>
      <w:r w:rsidR="009C2510" w:rsidRPr="009C2510">
        <w:rPr>
          <w:i/>
          <w:lang w:val="en-US"/>
        </w:rPr>
        <w:t xml:space="preserve">The </w:t>
      </w:r>
      <w:r w:rsidR="00450C20" w:rsidRPr="00047D36">
        <w:rPr>
          <w:i/>
          <w:lang w:val="en-GB"/>
        </w:rPr>
        <w:t>Quarterly Review of Economics and Finance</w:t>
      </w:r>
      <w:r w:rsidR="009C2510" w:rsidRPr="00047D36">
        <w:rPr>
          <w:i/>
          <w:lang w:val="en-GB"/>
        </w:rPr>
        <w:t xml:space="preserve">, </w:t>
      </w:r>
      <w:r w:rsidR="009C2510">
        <w:rPr>
          <w:lang w:val="en-US"/>
        </w:rPr>
        <w:t>82, pp. 207-222</w:t>
      </w:r>
      <w:r w:rsidR="00450C20">
        <w:rPr>
          <w:lang w:val="en-US"/>
        </w:rPr>
        <w:t xml:space="preserve"> (CNRS 3</w:t>
      </w:r>
      <w:r w:rsidR="009F0DD2">
        <w:rPr>
          <w:lang w:val="en-US"/>
        </w:rPr>
        <w:t>, ABS 2*</w:t>
      </w:r>
      <w:r w:rsidR="00A62303">
        <w:rPr>
          <w:lang w:val="en-US"/>
        </w:rPr>
        <w:t>, FNEGE 4</w:t>
      </w:r>
      <w:r w:rsidRPr="002C6B29">
        <w:rPr>
          <w:lang w:val="en-US"/>
        </w:rPr>
        <w:t>)</w:t>
      </w:r>
      <w:r w:rsidR="00AA2FA2">
        <w:rPr>
          <w:lang w:val="en-US"/>
        </w:rPr>
        <w:t xml:space="preserve">, </w:t>
      </w:r>
      <w:hyperlink r:id="rId9" w:tgtFrame="_blank" w:tooltip="Persistent link using digital object identifier" w:history="1">
        <w:r w:rsidR="00AA2FA2" w:rsidRPr="00AA2FA2">
          <w:rPr>
            <w:rStyle w:val="Lienhypertexte"/>
            <w:color w:val="auto"/>
            <w:u w:val="none"/>
            <w:lang w:val="en-GB"/>
          </w:rPr>
          <w:t>https://doi.org/10.1016/j.qref.2021.09.008</w:t>
        </w:r>
      </w:hyperlink>
    </w:p>
    <w:p w14:paraId="39551383" w14:textId="77777777" w:rsidR="00AD735C" w:rsidRPr="005B13D1" w:rsidRDefault="00AD735C" w:rsidP="00AD735C">
      <w:pPr>
        <w:pStyle w:val="Paragraphedeliste"/>
        <w:ind w:left="284" w:hanging="284"/>
        <w:jc w:val="both"/>
        <w:rPr>
          <w:rFonts w:ascii="Calibri" w:hAnsi="Calibri"/>
        </w:rPr>
      </w:pPr>
      <w:r w:rsidRPr="006D44CF">
        <w:rPr>
          <w:b/>
        </w:rPr>
        <w:t>Sokic</w:t>
      </w:r>
      <w:r w:rsidR="00247BA2" w:rsidRPr="005B13D1">
        <w:t xml:space="preserve"> A. (2021</w:t>
      </w:r>
      <w:r w:rsidR="005B13D1" w:rsidRPr="005B13D1">
        <w:t xml:space="preserve">), « </w:t>
      </w:r>
      <w:r w:rsidR="005B13D1">
        <w:t>Dynamique des prix du b</w:t>
      </w:r>
      <w:r w:rsidR="005B13D1" w:rsidRPr="005B13D1">
        <w:t>itcoin et hyper-dé</w:t>
      </w:r>
      <w:r w:rsidRPr="005B13D1">
        <w:t xml:space="preserve">flation : </w:t>
      </w:r>
      <w:r w:rsidR="005B13D1" w:rsidRPr="005B13D1">
        <w:t>une approche en théorie monétaire</w:t>
      </w:r>
      <w:r w:rsidRPr="005B13D1">
        <w:t xml:space="preserve">»,  </w:t>
      </w:r>
      <w:r w:rsidRPr="005B13D1">
        <w:rPr>
          <w:i/>
        </w:rPr>
        <w:t>Revue Economique</w:t>
      </w:r>
      <w:r w:rsidR="0090336B">
        <w:t>, 72 (1), pp. 135-146</w:t>
      </w:r>
      <w:r w:rsidRPr="005B13D1">
        <w:t xml:space="preserve"> (CNRS 2)</w:t>
      </w:r>
      <w:r w:rsidR="00AA2FA2">
        <w:t xml:space="preserve">, </w:t>
      </w:r>
      <w:hyperlink r:id="rId10" w:anchor="xd_co_f=ZGFlMDRmYmYtNzViNi00OWUzLWI0NTAtMjc0YjI5ZTc2OWNi~" w:history="1">
        <w:r w:rsidR="00AA2FA2" w:rsidRPr="00AA2FA2">
          <w:rPr>
            <w:rStyle w:val="Lienhypertexte"/>
            <w:color w:val="auto"/>
            <w:u w:val="none"/>
            <w:shd w:val="clear" w:color="auto" w:fill="FAFAFA"/>
          </w:rPr>
          <w:t>https://doi.org/10.3917/reco.721.0135</w:t>
        </w:r>
      </w:hyperlink>
    </w:p>
    <w:p w14:paraId="0FDA607C" w14:textId="77777777" w:rsidR="00F026C3" w:rsidRPr="00AA2FA2" w:rsidRDefault="00F026C3" w:rsidP="00F026C3">
      <w:pPr>
        <w:shd w:val="clear" w:color="auto" w:fill="FFFFFF"/>
        <w:ind w:left="284" w:hanging="284"/>
        <w:jc w:val="both"/>
        <w:rPr>
          <w:lang w:val="en-GB"/>
        </w:rPr>
      </w:pPr>
      <w:r w:rsidRPr="00936319">
        <w:rPr>
          <w:lang w:val="en-US"/>
        </w:rPr>
        <w:t xml:space="preserve">Mutascu M. and </w:t>
      </w:r>
      <w:r w:rsidRPr="00CA1A70">
        <w:rPr>
          <w:b/>
          <w:lang w:val="en-US"/>
        </w:rPr>
        <w:t>Sokic A</w:t>
      </w:r>
      <w:r w:rsidRPr="00936319">
        <w:rPr>
          <w:lang w:val="en-US"/>
        </w:rPr>
        <w:t xml:space="preserve">. </w:t>
      </w:r>
      <w:r w:rsidR="00AD735C">
        <w:rPr>
          <w:lang w:val="en-US"/>
        </w:rPr>
        <w:t>(2020</w:t>
      </w:r>
      <w:r>
        <w:rPr>
          <w:lang w:val="en-US"/>
        </w:rPr>
        <w:t xml:space="preserve">), </w:t>
      </w:r>
      <w:r w:rsidRPr="002C6B29">
        <w:rPr>
          <w:lang w:val="en-US"/>
        </w:rPr>
        <w:t>“</w:t>
      </w:r>
      <w:r w:rsidRPr="002C6B29">
        <w:rPr>
          <w:rFonts w:eastAsia="ArialUnicodeMS"/>
          <w:lang w:val="en-US" w:eastAsia="en-US"/>
        </w:rPr>
        <w:t>Trade openness - CO2 emissions nexus: a wavelet evidence from EU</w:t>
      </w:r>
      <w:r w:rsidR="00AD735C">
        <w:rPr>
          <w:lang w:val="en-US"/>
        </w:rPr>
        <w:t xml:space="preserve">”, </w:t>
      </w:r>
      <w:r w:rsidRPr="002C6B29">
        <w:rPr>
          <w:rFonts w:eastAsia="ArialUnicodeMS"/>
          <w:i/>
          <w:lang w:val="en-US" w:eastAsia="en-US"/>
        </w:rPr>
        <w:t>Environmental Modeling &amp; Assessment</w:t>
      </w:r>
      <w:r w:rsidR="00AD735C">
        <w:rPr>
          <w:rFonts w:eastAsia="ArialUnicodeMS"/>
          <w:i/>
          <w:lang w:val="en-US" w:eastAsia="en-US"/>
        </w:rPr>
        <w:t xml:space="preserve">, </w:t>
      </w:r>
      <w:r w:rsidR="00C176F5" w:rsidRPr="00C176F5">
        <w:rPr>
          <w:rFonts w:eastAsia="ArialUnicodeMS"/>
          <w:lang w:val="en-US" w:eastAsia="en-US"/>
        </w:rPr>
        <w:t>25 (3), pp.</w:t>
      </w:r>
      <w:r w:rsidR="00C176F5">
        <w:rPr>
          <w:rFonts w:eastAsia="ArialUnicodeMS"/>
          <w:lang w:val="en-US" w:eastAsia="en-US"/>
        </w:rPr>
        <w:t xml:space="preserve"> 411-4</w:t>
      </w:r>
      <w:r w:rsidR="00E64D51">
        <w:rPr>
          <w:rFonts w:eastAsia="ArialUnicodeMS"/>
          <w:lang w:val="en-US" w:eastAsia="en-US"/>
        </w:rPr>
        <w:t xml:space="preserve">28 </w:t>
      </w:r>
      <w:r>
        <w:rPr>
          <w:lang w:val="en-US"/>
        </w:rPr>
        <w:t>(CNRS 2</w:t>
      </w:r>
      <w:r w:rsidRPr="002C6B29">
        <w:rPr>
          <w:lang w:val="en-US"/>
        </w:rPr>
        <w:t>)</w:t>
      </w:r>
      <w:r w:rsidR="00AA2FA2">
        <w:rPr>
          <w:lang w:val="en-US"/>
        </w:rPr>
        <w:t xml:space="preserve">, </w:t>
      </w:r>
      <w:r w:rsidR="00AA2FA2" w:rsidRPr="00AA2FA2">
        <w:rPr>
          <w:color w:val="333333"/>
          <w:shd w:val="clear" w:color="auto" w:fill="FCFCFC"/>
          <w:lang w:val="en-GB"/>
        </w:rPr>
        <w:t>https://doi.org/10.1007/s10666-020-09689-8</w:t>
      </w:r>
    </w:p>
    <w:p w14:paraId="47B42AFF" w14:textId="77777777" w:rsidR="00085879" w:rsidRPr="00AD735C" w:rsidRDefault="00085879" w:rsidP="00F026C3">
      <w:pPr>
        <w:ind w:left="284" w:hanging="284"/>
        <w:jc w:val="both"/>
        <w:rPr>
          <w:b/>
          <w:lang w:val="en-US"/>
        </w:rPr>
      </w:pPr>
      <w:r w:rsidRPr="00CA1A70">
        <w:rPr>
          <w:b/>
          <w:lang w:val="en-US"/>
        </w:rPr>
        <w:t>Sokic A</w:t>
      </w:r>
      <w:r w:rsidRPr="00AD735C">
        <w:rPr>
          <w:lang w:val="en-US"/>
        </w:rPr>
        <w:t>. (2016), « Euroization and cyclical stabilization in M</w:t>
      </w:r>
      <w:r w:rsidR="00B071EE" w:rsidRPr="00AD735C">
        <w:rPr>
          <w:lang w:val="en-US"/>
        </w:rPr>
        <w:t>ontenegro</w:t>
      </w:r>
      <w:r w:rsidRPr="00AD735C">
        <w:rPr>
          <w:lang w:val="en-US"/>
        </w:rPr>
        <w:t xml:space="preserve"> », </w:t>
      </w:r>
      <w:r w:rsidRPr="00AD735C">
        <w:rPr>
          <w:i/>
          <w:lang w:val="en-US"/>
        </w:rPr>
        <w:t>Revue d’Etudes Comparatives Est Ouest</w:t>
      </w:r>
      <w:r w:rsidR="0000610A" w:rsidRPr="00AD735C">
        <w:rPr>
          <w:lang w:val="en-US"/>
        </w:rPr>
        <w:t>, vol. 47, n°3, pp. 83</w:t>
      </w:r>
      <w:r w:rsidRPr="00AD735C">
        <w:rPr>
          <w:lang w:val="en-US"/>
        </w:rPr>
        <w:t>-100 (CNRS 4)</w:t>
      </w:r>
      <w:r w:rsidR="00AA2FA2">
        <w:rPr>
          <w:lang w:val="en-US"/>
        </w:rPr>
        <w:t xml:space="preserve">, </w:t>
      </w:r>
      <w:hyperlink r:id="rId11" w:anchor="xd_co_f=ZGFlMDRmYmYtNzViNi00OWUzLWI0NTAtMjc0YjI5ZTc2OWNi~" w:history="1">
        <w:r w:rsidR="00AA2FA2" w:rsidRPr="00AA2FA2">
          <w:rPr>
            <w:rStyle w:val="Lienhypertexte"/>
            <w:color w:val="auto"/>
            <w:u w:val="none"/>
            <w:shd w:val="clear" w:color="auto" w:fill="FAFAFA"/>
            <w:lang w:val="en-US"/>
          </w:rPr>
          <w:t>https://doi.org/10.4074/S033805991600303X</w:t>
        </w:r>
      </w:hyperlink>
    </w:p>
    <w:p w14:paraId="65E24A15" w14:textId="77777777" w:rsidR="00085879" w:rsidRPr="007E7E96" w:rsidRDefault="00085879" w:rsidP="00F026C3">
      <w:pPr>
        <w:ind w:left="284" w:hanging="284"/>
        <w:jc w:val="both"/>
        <w:rPr>
          <w:b/>
          <w:lang w:val="en-US"/>
        </w:rPr>
      </w:pPr>
      <w:r w:rsidRPr="00CA1A70">
        <w:rPr>
          <w:b/>
          <w:lang w:val="en-US"/>
        </w:rPr>
        <w:t>Sokic A</w:t>
      </w:r>
      <w:r w:rsidRPr="007E7E96">
        <w:rPr>
          <w:lang w:val="en-US"/>
        </w:rPr>
        <w:t>. (2015</w:t>
      </w:r>
      <w:r>
        <w:rPr>
          <w:lang w:val="en-GB"/>
        </w:rPr>
        <w:t>)</w:t>
      </w:r>
      <w:r w:rsidRPr="008A3B5E">
        <w:rPr>
          <w:lang w:val="en-GB"/>
        </w:rPr>
        <w:t xml:space="preserve">, « </w:t>
      </w:r>
      <w:r w:rsidRPr="00920963">
        <w:rPr>
          <w:lang w:val="en-US"/>
        </w:rPr>
        <w:t>Cost efficiency of the banking industry and unilateral e</w:t>
      </w:r>
      <w:r>
        <w:rPr>
          <w:lang w:val="en-US"/>
        </w:rPr>
        <w:t>uroisation</w:t>
      </w:r>
      <w:r w:rsidRPr="00920963">
        <w:rPr>
          <w:lang w:val="en-US"/>
        </w:rPr>
        <w:t>: a stochastic frontier approach in Serbia and Montenegro</w:t>
      </w:r>
      <w:r>
        <w:rPr>
          <w:b/>
          <w:lang w:val="en-US"/>
        </w:rPr>
        <w:t xml:space="preserve"> </w:t>
      </w:r>
      <w:r w:rsidRPr="008A3B5E">
        <w:rPr>
          <w:lang w:val="en-GB"/>
        </w:rPr>
        <w:t xml:space="preserve">», </w:t>
      </w:r>
      <w:r>
        <w:rPr>
          <w:i/>
          <w:lang w:val="en-GB"/>
        </w:rPr>
        <w:t>Economic Systems,</w:t>
      </w:r>
      <w:r>
        <w:rPr>
          <w:lang w:val="en-GB"/>
        </w:rPr>
        <w:t xml:space="preserve"> </w:t>
      </w:r>
      <w:r w:rsidRPr="00E51B96">
        <w:rPr>
          <w:lang w:val="en-GB"/>
        </w:rPr>
        <w:t>Volume 39, Issue 3, pp. 541-551</w:t>
      </w:r>
      <w:r>
        <w:rPr>
          <w:lang w:val="en-GB"/>
        </w:rPr>
        <w:t xml:space="preserve"> </w:t>
      </w:r>
      <w:r>
        <w:rPr>
          <w:lang w:val="en-US"/>
        </w:rPr>
        <w:t>(CNRS 3</w:t>
      </w:r>
      <w:r w:rsidRPr="007E7E96">
        <w:rPr>
          <w:lang w:val="en-US"/>
        </w:rPr>
        <w:t>)</w:t>
      </w:r>
      <w:r w:rsidR="00AA2FA2">
        <w:rPr>
          <w:lang w:val="en-US"/>
        </w:rPr>
        <w:t>,</w:t>
      </w:r>
      <w:r w:rsidR="00AA2FA2" w:rsidRPr="00AA2FA2">
        <w:rPr>
          <w:lang w:val="en-US"/>
        </w:rPr>
        <w:t xml:space="preserve"> </w:t>
      </w:r>
      <w:hyperlink r:id="rId12" w:tgtFrame="_blank" w:tooltip="Persistent link using digital object identifier" w:history="1">
        <w:r w:rsidR="00AA2FA2" w:rsidRPr="00AA2FA2">
          <w:rPr>
            <w:rStyle w:val="Lienhypertexte"/>
            <w:color w:val="auto"/>
            <w:u w:val="none"/>
            <w:lang w:val="en-GB"/>
          </w:rPr>
          <w:t>https://doi.org/10.1016/j.ecosys.2015.01.006</w:t>
        </w:r>
      </w:hyperlink>
    </w:p>
    <w:p w14:paraId="3540F27A" w14:textId="77777777" w:rsidR="00CF2FAB" w:rsidRPr="008A3B5E" w:rsidRDefault="00CF2FAB" w:rsidP="00CF2FAB">
      <w:pPr>
        <w:ind w:left="284" w:hanging="284"/>
        <w:jc w:val="both"/>
        <w:rPr>
          <w:lang w:val="en-GB"/>
        </w:rPr>
      </w:pPr>
      <w:r w:rsidRPr="00CA1A70">
        <w:rPr>
          <w:b/>
          <w:lang w:val="en-GB"/>
        </w:rPr>
        <w:t>Sokic A</w:t>
      </w:r>
      <w:r w:rsidRPr="008A3B5E">
        <w:rPr>
          <w:lang w:val="en-GB"/>
        </w:rPr>
        <w:t>. (2014), «Budget crisis in the PIGS countries, monetary independence and hyperinflation</w:t>
      </w:r>
      <w:r>
        <w:rPr>
          <w:lang w:val="en-GB"/>
        </w:rPr>
        <w:t xml:space="preserve">», </w:t>
      </w:r>
      <w:r w:rsidRPr="008A3B5E">
        <w:rPr>
          <w:i/>
          <w:lang w:val="en-GB"/>
        </w:rPr>
        <w:t>International Journal of Applied Economics and Econometrics</w:t>
      </w:r>
      <w:r>
        <w:rPr>
          <w:lang w:val="en-GB"/>
        </w:rPr>
        <w:t>, vol. 22, No.4, pp. 117-132 (</w:t>
      </w:r>
      <w:r w:rsidR="009C53EA">
        <w:rPr>
          <w:lang w:val="en-GB"/>
        </w:rPr>
        <w:t>liste aeres</w:t>
      </w:r>
      <w:r w:rsidR="00CE026C">
        <w:rPr>
          <w:lang w:val="en-GB"/>
        </w:rPr>
        <w:t xml:space="preserve"> 2010, </w:t>
      </w:r>
      <w:r w:rsidR="009C53EA">
        <w:rPr>
          <w:lang w:val="en-GB"/>
        </w:rPr>
        <w:t>EconLit</w:t>
      </w:r>
      <w:r>
        <w:rPr>
          <w:lang w:val="en-GB"/>
        </w:rPr>
        <w:t>)</w:t>
      </w:r>
    </w:p>
    <w:p w14:paraId="17A30CE9" w14:textId="77777777" w:rsidR="00CF2FAB" w:rsidRPr="008A3B5E" w:rsidRDefault="00F978EB" w:rsidP="00CF2FAB">
      <w:pPr>
        <w:ind w:left="284" w:hanging="284"/>
        <w:jc w:val="both"/>
        <w:rPr>
          <w:lang w:val="en-GB"/>
        </w:rPr>
      </w:pPr>
      <w:r>
        <w:rPr>
          <w:lang w:val="en-GB"/>
        </w:rPr>
        <w:t xml:space="preserve">Diaw D., Lessoua A., </w:t>
      </w:r>
      <w:r w:rsidR="008D2B49">
        <w:rPr>
          <w:lang w:val="en-GB"/>
        </w:rPr>
        <w:t xml:space="preserve">&amp; </w:t>
      </w:r>
      <w:r w:rsidR="00CF2FAB" w:rsidRPr="00CA1A70">
        <w:rPr>
          <w:b/>
          <w:lang w:val="en-GB"/>
        </w:rPr>
        <w:t>Sokic A</w:t>
      </w:r>
      <w:r w:rsidR="00CF2FAB" w:rsidRPr="008A3B5E">
        <w:rPr>
          <w:lang w:val="en-GB"/>
        </w:rPr>
        <w:t>., (2014), «</w:t>
      </w:r>
      <w:r w:rsidR="00CF2FAB" w:rsidRPr="008A3B5E">
        <w:rPr>
          <w:color w:val="000000"/>
          <w:lang w:val="en-GB"/>
        </w:rPr>
        <w:t>Resilience capacity of South countries with respect to the global economic crisis: a comparative analysis of Sub-Saharan and Latin American countries</w:t>
      </w:r>
      <w:r>
        <w:rPr>
          <w:lang w:val="en-GB"/>
        </w:rPr>
        <w:t>»</w:t>
      </w:r>
      <w:r w:rsidR="00CF2FAB" w:rsidRPr="008A3B5E">
        <w:rPr>
          <w:lang w:val="en-GB"/>
        </w:rPr>
        <w:t xml:space="preserve">, </w:t>
      </w:r>
      <w:r w:rsidR="00CF2FAB" w:rsidRPr="008A3B5E">
        <w:rPr>
          <w:i/>
          <w:lang w:val="en-GB"/>
        </w:rPr>
        <w:t>International Journal of Applied Economics and Econometrics</w:t>
      </w:r>
      <w:r w:rsidR="00CF2FAB">
        <w:rPr>
          <w:lang w:val="en-GB"/>
        </w:rPr>
        <w:t>, vol. 22 No. 4, pp. 133-158 (</w:t>
      </w:r>
      <w:r w:rsidR="009C53EA">
        <w:rPr>
          <w:lang w:val="en-GB"/>
        </w:rPr>
        <w:t>liste aeres</w:t>
      </w:r>
      <w:r w:rsidR="00CE026C">
        <w:rPr>
          <w:lang w:val="en-GB"/>
        </w:rPr>
        <w:t xml:space="preserve"> 2010, </w:t>
      </w:r>
      <w:r w:rsidR="009C53EA">
        <w:rPr>
          <w:lang w:val="en-GB"/>
        </w:rPr>
        <w:t>EconLit</w:t>
      </w:r>
      <w:r w:rsidR="00CF2FAB">
        <w:rPr>
          <w:lang w:val="en-GB"/>
        </w:rPr>
        <w:t>)</w:t>
      </w:r>
    </w:p>
    <w:p w14:paraId="65331145" w14:textId="77777777" w:rsidR="00085879" w:rsidRPr="007E7E96" w:rsidRDefault="00085879" w:rsidP="00610A1D">
      <w:pPr>
        <w:ind w:left="284" w:hanging="284"/>
        <w:jc w:val="both"/>
        <w:rPr>
          <w:lang w:val="en-US"/>
        </w:rPr>
      </w:pPr>
      <w:r w:rsidRPr="00CA1A70">
        <w:rPr>
          <w:b/>
          <w:lang w:val="en-GB"/>
        </w:rPr>
        <w:t>Sokic A</w:t>
      </w:r>
      <w:r w:rsidRPr="008A3B5E">
        <w:rPr>
          <w:lang w:val="en-GB"/>
        </w:rPr>
        <w:t xml:space="preserve">. (2012), « The monetary analysis of hyperinflation and the appropriate specification of the demand for money », </w:t>
      </w:r>
      <w:r w:rsidRPr="008A3B5E">
        <w:rPr>
          <w:i/>
          <w:lang w:val="en-GB"/>
        </w:rPr>
        <w:t>German Economic Review,</w:t>
      </w:r>
      <w:r w:rsidRPr="008A3B5E">
        <w:rPr>
          <w:lang w:val="en-GB"/>
        </w:rPr>
        <w:t xml:space="preserve"> vol. 13, No. 2, pp. 142-160</w:t>
      </w:r>
      <w:r>
        <w:rPr>
          <w:lang w:val="en-GB"/>
        </w:rPr>
        <w:t xml:space="preserve"> </w:t>
      </w:r>
      <w:r>
        <w:rPr>
          <w:lang w:val="en-US"/>
        </w:rPr>
        <w:t>(CNRS 3</w:t>
      </w:r>
      <w:r w:rsidRPr="007E7E96">
        <w:rPr>
          <w:lang w:val="en-US"/>
        </w:rPr>
        <w:t>)</w:t>
      </w:r>
    </w:p>
    <w:p w14:paraId="732A80F8" w14:textId="77777777" w:rsidR="00085879" w:rsidRPr="007E7E96" w:rsidRDefault="00085879" w:rsidP="00610A1D">
      <w:pPr>
        <w:autoSpaceDE w:val="0"/>
        <w:autoSpaceDN w:val="0"/>
        <w:adjustRightInd w:val="0"/>
        <w:ind w:left="284" w:hanging="284"/>
        <w:jc w:val="both"/>
        <w:rPr>
          <w:lang w:val="en-US"/>
        </w:rPr>
      </w:pPr>
      <w:r w:rsidRPr="00CA1A70">
        <w:rPr>
          <w:b/>
          <w:lang w:val="en-GB"/>
        </w:rPr>
        <w:t>Sokic A</w:t>
      </w:r>
      <w:r w:rsidRPr="008A3B5E">
        <w:rPr>
          <w:lang w:val="en-GB"/>
        </w:rPr>
        <w:t xml:space="preserve">. (2010), « Modelling the Transaction Role of Money and the Essentiality of Money in an Explosive Hyperinflation Context », </w:t>
      </w:r>
      <w:r w:rsidRPr="008A3B5E">
        <w:rPr>
          <w:i/>
          <w:lang w:val="en-GB"/>
        </w:rPr>
        <w:t>Journal of Institutional and Theoretical Economics</w:t>
      </w:r>
      <w:r w:rsidRPr="008A3B5E">
        <w:rPr>
          <w:lang w:val="en-GB"/>
        </w:rPr>
        <w:t>, vol. 166, No. 3, pp. 387-396</w:t>
      </w:r>
      <w:r>
        <w:rPr>
          <w:lang w:val="en-GB"/>
        </w:rPr>
        <w:t xml:space="preserve"> </w:t>
      </w:r>
      <w:r>
        <w:rPr>
          <w:lang w:val="en-US"/>
        </w:rPr>
        <w:t>(CNRS 2</w:t>
      </w:r>
      <w:r w:rsidRPr="007E7E96">
        <w:rPr>
          <w:lang w:val="en-US"/>
        </w:rPr>
        <w:t>)</w:t>
      </w:r>
    </w:p>
    <w:p w14:paraId="40A2A26E" w14:textId="77777777" w:rsidR="00CF2FAB" w:rsidRPr="00883B13" w:rsidRDefault="00CF2FAB" w:rsidP="00CF2FAB">
      <w:pPr>
        <w:ind w:left="284" w:hanging="284"/>
        <w:jc w:val="both"/>
      </w:pPr>
      <w:r w:rsidRPr="00CA1A70">
        <w:rPr>
          <w:b/>
          <w:lang w:val="en-GB"/>
        </w:rPr>
        <w:t>Sokic A</w:t>
      </w:r>
      <w:r w:rsidRPr="008A3B5E">
        <w:rPr>
          <w:lang w:val="en-GB"/>
        </w:rPr>
        <w:t xml:space="preserve">. (2008), «Monetary hyperinflations, speculative hyperinflations and modelling the use of money», </w:t>
      </w:r>
      <w:r w:rsidRPr="008A3B5E">
        <w:rPr>
          <w:i/>
          <w:lang w:val="en-GB"/>
        </w:rPr>
        <w:t>Icfai Journal of Monetary Economics</w:t>
      </w:r>
      <w:r w:rsidRPr="008A3B5E">
        <w:rPr>
          <w:lang w:val="en-GB"/>
        </w:rPr>
        <w:t xml:space="preserve">, Vol. </w:t>
      </w:r>
      <w:r w:rsidRPr="00883B13">
        <w:t xml:space="preserve">VI, issue 3, pp. 51-70 </w:t>
      </w:r>
    </w:p>
    <w:p w14:paraId="3A3E2503" w14:textId="77777777" w:rsidR="00085879" w:rsidRPr="008A3B5E" w:rsidRDefault="00085879" w:rsidP="00610A1D">
      <w:pPr>
        <w:ind w:left="284" w:hanging="284"/>
        <w:jc w:val="both"/>
      </w:pPr>
      <w:r w:rsidRPr="00CA1A70">
        <w:rPr>
          <w:b/>
        </w:rPr>
        <w:t>Sokic A</w:t>
      </w:r>
      <w:r w:rsidRPr="008A3B5E">
        <w:t xml:space="preserve">. (2007), « ALECE et Balkans occidentaux: entre intégrations régionale et européenne », </w:t>
      </w:r>
      <w:r w:rsidRPr="008A3B5E">
        <w:rPr>
          <w:i/>
        </w:rPr>
        <w:t>Courrier des Pays de l’Est</w:t>
      </w:r>
      <w:r w:rsidR="00F86A74">
        <w:t>, n°1063</w:t>
      </w:r>
      <w:r w:rsidR="007423B5">
        <w:t>, pp. 44-52 (CNRS 2004 1 étoile</w:t>
      </w:r>
      <w:r w:rsidRPr="008A3B5E">
        <w:t>)</w:t>
      </w:r>
    </w:p>
    <w:p w14:paraId="7D1EAFC4" w14:textId="77777777" w:rsidR="00085879" w:rsidRPr="008A3B5E" w:rsidRDefault="00085879" w:rsidP="00610A1D">
      <w:pPr>
        <w:ind w:left="284" w:hanging="284"/>
        <w:jc w:val="both"/>
      </w:pPr>
      <w:r w:rsidRPr="00CA1A70">
        <w:rPr>
          <w:b/>
        </w:rPr>
        <w:t>Sokic A</w:t>
      </w:r>
      <w:r w:rsidRPr="008A3B5E">
        <w:t xml:space="preserve">. (2006), « L’euroisation au Monténégro : une expérience inédite », </w:t>
      </w:r>
      <w:r w:rsidRPr="008A3B5E">
        <w:rPr>
          <w:i/>
        </w:rPr>
        <w:t>Courrier des Pays de l’Est</w:t>
      </w:r>
      <w:r w:rsidR="00F86A74">
        <w:t>, n°1057</w:t>
      </w:r>
      <w:r w:rsidRPr="008A3B5E">
        <w:t xml:space="preserve">, pp. 58-68 </w:t>
      </w:r>
      <w:r w:rsidR="007423B5">
        <w:t>(CNRS 2004 1 étoile</w:t>
      </w:r>
      <w:r w:rsidRPr="008A3B5E">
        <w:t>)</w:t>
      </w:r>
    </w:p>
    <w:p w14:paraId="1D49DD94" w14:textId="77777777" w:rsidR="00085879" w:rsidRDefault="00085879" w:rsidP="00610A1D">
      <w:pPr>
        <w:ind w:left="284" w:hanging="284"/>
        <w:jc w:val="both"/>
      </w:pPr>
      <w:r w:rsidRPr="00CA1A70">
        <w:rPr>
          <w:b/>
        </w:rPr>
        <w:t>Sokic A</w:t>
      </w:r>
      <w:r w:rsidRPr="008A3B5E">
        <w:t xml:space="preserve">. (2006), « Processus de convergences réelle et nominale dans les Pays d’Europe Centrale et Orientale », </w:t>
      </w:r>
      <w:r w:rsidRPr="008A3B5E">
        <w:rPr>
          <w:i/>
        </w:rPr>
        <w:t>Courrier des Pays de l’Est</w:t>
      </w:r>
      <w:r w:rsidR="00F86A74">
        <w:t>, n°1054</w:t>
      </w:r>
      <w:r w:rsidRPr="008A3B5E">
        <w:t xml:space="preserve">, pp. 62-69 </w:t>
      </w:r>
      <w:r w:rsidR="007423B5">
        <w:t>(CNRS 2004 1 étoile</w:t>
      </w:r>
      <w:r w:rsidRPr="008A3B5E">
        <w:t>)</w:t>
      </w:r>
    </w:p>
    <w:p w14:paraId="35C6357B" w14:textId="77777777" w:rsidR="00085879" w:rsidRPr="008A3B5E" w:rsidRDefault="00085879" w:rsidP="00610A1D">
      <w:pPr>
        <w:ind w:left="284" w:hanging="284"/>
        <w:jc w:val="both"/>
      </w:pPr>
      <w:r w:rsidRPr="00CA1A70">
        <w:rPr>
          <w:b/>
        </w:rPr>
        <w:t>Sokic A</w:t>
      </w:r>
      <w:r w:rsidRPr="008A3B5E">
        <w:t xml:space="preserve">. (1996), "Note à propos de la reformulation du modèle de Cagan", </w:t>
      </w:r>
      <w:r w:rsidRPr="008A3B5E">
        <w:rPr>
          <w:i/>
        </w:rPr>
        <w:t>Revue Française d'Economie</w:t>
      </w:r>
      <w:r w:rsidRPr="008A3B5E">
        <w:t>, vol. 11, n°</w:t>
      </w:r>
      <w:r>
        <w:t xml:space="preserve"> 3, pp. 193-203 (CNRS 3</w:t>
      </w:r>
      <w:r w:rsidRPr="008A3B5E">
        <w:t>)</w:t>
      </w:r>
    </w:p>
    <w:p w14:paraId="42B45860" w14:textId="77777777" w:rsidR="00CA2D4E" w:rsidRDefault="00CA2D4E" w:rsidP="00CA2D4E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DejaVu Sans" w:eastAsia="DejaVu Sans" w:hAnsi="DejaVu Sans" w:cs="DejaVu Sans"/>
          <w:color w:val="889532"/>
          <w:sz w:val="22"/>
        </w:rPr>
      </w:pPr>
    </w:p>
    <w:p w14:paraId="2CC813AB" w14:textId="77777777" w:rsidR="00CA2D4E" w:rsidRDefault="00CA2D4E" w:rsidP="00CA2D4E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DejaVu Sans" w:eastAsia="DejaVu Sans" w:hAnsi="DejaVu Sans" w:cs="DejaVu Sans"/>
          <w:color w:val="889532"/>
          <w:sz w:val="22"/>
        </w:rPr>
      </w:pPr>
      <w:r>
        <w:rPr>
          <w:rFonts w:ascii="DejaVu Sans" w:eastAsia="DejaVu Sans" w:hAnsi="DejaVu Sans" w:cs="DejaVu Sans"/>
          <w:color w:val="889532"/>
          <w:sz w:val="22"/>
        </w:rPr>
        <w:lastRenderedPageBreak/>
        <w:t>Reference media contribution (valorization)</w:t>
      </w:r>
    </w:p>
    <w:p w14:paraId="5BDD7D3A" w14:textId="1BAF3D1C" w:rsidR="00361288" w:rsidRDefault="00361288" w:rsidP="00CA2D4E">
      <w:pPr>
        <w:pStyle w:val="Titre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CA2D4E">
        <w:rPr>
          <w:bCs w:val="0"/>
          <w:sz w:val="24"/>
          <w:szCs w:val="24"/>
        </w:rPr>
        <w:t>Sokic A.</w:t>
      </w:r>
      <w:r>
        <w:rPr>
          <w:b w:val="0"/>
          <w:sz w:val="24"/>
          <w:szCs w:val="24"/>
        </w:rPr>
        <w:t xml:space="preserve"> (2025</w:t>
      </w:r>
      <w:r w:rsidRPr="00DA6290">
        <w:rPr>
          <w:b w:val="0"/>
          <w:sz w:val="24"/>
          <w:szCs w:val="24"/>
        </w:rPr>
        <w:t>), « </w:t>
      </w:r>
      <w:r w:rsidR="003D58C8" w:rsidRPr="003D58C8">
        <w:rPr>
          <w:b w:val="0"/>
          <w:iCs/>
          <w:color w:val="1C0E00"/>
          <w:sz w:val="24"/>
          <w:szCs w:val="24"/>
        </w:rPr>
        <w:t>Les variations du bitcoin ont des conséquences sur la quantité d’énergie consommée</w:t>
      </w:r>
      <w:r w:rsidRPr="00DA6290">
        <w:rPr>
          <w:b w:val="0"/>
          <w:sz w:val="24"/>
          <w:szCs w:val="24"/>
        </w:rPr>
        <w:t xml:space="preserve">», </w:t>
      </w:r>
      <w:r w:rsidR="00E14971">
        <w:rPr>
          <w:b w:val="0"/>
          <w:i/>
          <w:sz w:val="24"/>
          <w:szCs w:val="24"/>
        </w:rPr>
        <w:t>Investir</w:t>
      </w:r>
      <w:r w:rsidR="00CF6B09">
        <w:rPr>
          <w:b w:val="0"/>
          <w:i/>
          <w:sz w:val="24"/>
          <w:szCs w:val="24"/>
        </w:rPr>
        <w:t xml:space="preserve"> </w:t>
      </w:r>
      <w:r w:rsidR="003D58C8">
        <w:rPr>
          <w:b w:val="0"/>
          <w:i/>
          <w:sz w:val="24"/>
          <w:szCs w:val="24"/>
        </w:rPr>
        <w:t>(groupe Les Echos)</w:t>
      </w:r>
      <w:r>
        <w:rPr>
          <w:b w:val="0"/>
          <w:sz w:val="24"/>
          <w:szCs w:val="24"/>
        </w:rPr>
        <w:t xml:space="preserve">, </w:t>
      </w:r>
      <w:r w:rsidR="00C31809">
        <w:rPr>
          <w:b w:val="0"/>
          <w:sz w:val="24"/>
          <w:szCs w:val="24"/>
        </w:rPr>
        <w:t>n°26</w:t>
      </w:r>
      <w:r w:rsidR="003D58C8">
        <w:rPr>
          <w:b w:val="0"/>
          <w:sz w:val="24"/>
          <w:szCs w:val="24"/>
        </w:rPr>
        <w:t xml:space="preserve">95, 30 août </w:t>
      </w:r>
      <w:r>
        <w:rPr>
          <w:b w:val="0"/>
          <w:sz w:val="24"/>
          <w:szCs w:val="24"/>
        </w:rPr>
        <w:t>2025</w:t>
      </w:r>
    </w:p>
    <w:p w14:paraId="5B19EEAA" w14:textId="53D7C61D" w:rsidR="003C3671" w:rsidRPr="003C3671" w:rsidRDefault="003C3671" w:rsidP="003C3671">
      <w:pPr>
        <w:pStyle w:val="Titre1"/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2A303B"/>
          <w:sz w:val="24"/>
          <w:szCs w:val="24"/>
        </w:rPr>
      </w:pPr>
      <w:r w:rsidRPr="00CA2D4E">
        <w:rPr>
          <w:bCs w:val="0"/>
          <w:sz w:val="24"/>
          <w:szCs w:val="24"/>
        </w:rPr>
        <w:t>Sokic A.</w:t>
      </w:r>
      <w:r>
        <w:rPr>
          <w:b w:val="0"/>
          <w:sz w:val="24"/>
          <w:szCs w:val="24"/>
        </w:rPr>
        <w:t xml:space="preserve"> (2024</w:t>
      </w:r>
      <w:r w:rsidRPr="00DA6290">
        <w:rPr>
          <w:b w:val="0"/>
          <w:sz w:val="24"/>
          <w:szCs w:val="24"/>
        </w:rPr>
        <w:t>), « </w:t>
      </w:r>
      <w:r w:rsidRPr="003C3671">
        <w:rPr>
          <w:b w:val="0"/>
          <w:color w:val="2A303B"/>
          <w:sz w:val="24"/>
          <w:szCs w:val="24"/>
        </w:rPr>
        <w:t>Dans le cas de l’adhésion du Monténégro, l’UE comptera un membre ayant l’euro comme monnaie, sans être admis dans la zone euro</w:t>
      </w:r>
      <w:r w:rsidRPr="00DA6290">
        <w:rPr>
          <w:b w:val="0"/>
          <w:sz w:val="24"/>
          <w:szCs w:val="24"/>
        </w:rPr>
        <w:t xml:space="preserve">», </w:t>
      </w:r>
      <w:r w:rsidRPr="00DA6290">
        <w:rPr>
          <w:b w:val="0"/>
          <w:i/>
          <w:sz w:val="24"/>
          <w:szCs w:val="24"/>
        </w:rPr>
        <w:t>Le Monde</w:t>
      </w:r>
      <w:r>
        <w:rPr>
          <w:b w:val="0"/>
          <w:sz w:val="24"/>
          <w:szCs w:val="24"/>
        </w:rPr>
        <w:t xml:space="preserve">, </w:t>
      </w:r>
      <w:r w:rsidR="00A97671">
        <w:rPr>
          <w:b w:val="0"/>
          <w:sz w:val="24"/>
          <w:szCs w:val="24"/>
        </w:rPr>
        <w:t xml:space="preserve">Paris, </w:t>
      </w:r>
      <w:r>
        <w:rPr>
          <w:b w:val="0"/>
          <w:sz w:val="24"/>
          <w:szCs w:val="24"/>
        </w:rPr>
        <w:t xml:space="preserve">18 </w:t>
      </w:r>
      <w:r w:rsidRPr="003C3671">
        <w:rPr>
          <w:b w:val="0"/>
          <w:sz w:val="24"/>
          <w:szCs w:val="24"/>
        </w:rPr>
        <w:t>décembre 2024</w:t>
      </w:r>
    </w:p>
    <w:p w14:paraId="0CE5CC5F" w14:textId="77777777" w:rsidR="00D91694" w:rsidRPr="003C3671" w:rsidRDefault="00D91694" w:rsidP="00FA2E1E">
      <w:pPr>
        <w:pStyle w:val="Titre1"/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sz w:val="24"/>
          <w:szCs w:val="24"/>
        </w:rPr>
      </w:pPr>
      <w:r w:rsidRPr="00CA2D4E">
        <w:rPr>
          <w:bCs w:val="0"/>
          <w:sz w:val="24"/>
          <w:szCs w:val="24"/>
        </w:rPr>
        <w:t>Sokic A.</w:t>
      </w:r>
      <w:r w:rsidRPr="003C3671">
        <w:rPr>
          <w:b w:val="0"/>
          <w:sz w:val="24"/>
          <w:szCs w:val="24"/>
        </w:rPr>
        <w:t xml:space="preserve"> (2023), « Euro numérique : monnaie privée, publique, décryptage », </w:t>
      </w:r>
      <w:r w:rsidR="009C53EA" w:rsidRPr="003C3671">
        <w:rPr>
          <w:b w:val="0"/>
          <w:i/>
          <w:sz w:val="24"/>
          <w:szCs w:val="24"/>
        </w:rPr>
        <w:t xml:space="preserve">Le </w:t>
      </w:r>
      <w:r w:rsidRPr="003C3671">
        <w:rPr>
          <w:b w:val="0"/>
          <w:i/>
          <w:sz w:val="24"/>
          <w:szCs w:val="24"/>
        </w:rPr>
        <w:t>Monde des Grandes Ecoles</w:t>
      </w:r>
      <w:r w:rsidRPr="003C3671">
        <w:rPr>
          <w:b w:val="0"/>
          <w:sz w:val="24"/>
          <w:szCs w:val="24"/>
        </w:rPr>
        <w:t>, 22 mars 2023</w:t>
      </w:r>
    </w:p>
    <w:p w14:paraId="66DE1F77" w14:textId="5324C52E" w:rsidR="00FA2E1E" w:rsidRPr="00DA6290" w:rsidRDefault="00FA2E1E" w:rsidP="00FA2E1E">
      <w:pPr>
        <w:pStyle w:val="Titre1"/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2A303B"/>
          <w:sz w:val="24"/>
          <w:szCs w:val="24"/>
        </w:rPr>
      </w:pPr>
      <w:r w:rsidRPr="00CA2D4E">
        <w:rPr>
          <w:bCs w:val="0"/>
          <w:sz w:val="24"/>
          <w:szCs w:val="24"/>
        </w:rPr>
        <w:t>Sokic A.</w:t>
      </w:r>
      <w:r>
        <w:rPr>
          <w:b w:val="0"/>
          <w:sz w:val="24"/>
          <w:szCs w:val="24"/>
        </w:rPr>
        <w:t xml:space="preserve"> (2023</w:t>
      </w:r>
      <w:r w:rsidRPr="00DA6290">
        <w:rPr>
          <w:b w:val="0"/>
          <w:sz w:val="24"/>
          <w:szCs w:val="24"/>
        </w:rPr>
        <w:t>), « </w:t>
      </w:r>
      <w:r>
        <w:rPr>
          <w:b w:val="0"/>
          <w:sz w:val="24"/>
          <w:szCs w:val="24"/>
        </w:rPr>
        <w:t>L’euro numérique marque-t-il l’avènement d’un nouvel euro ?</w:t>
      </w:r>
      <w:r w:rsidRPr="00DA6290">
        <w:rPr>
          <w:b w:val="0"/>
          <w:color w:val="2A303B"/>
          <w:sz w:val="24"/>
          <w:szCs w:val="24"/>
        </w:rPr>
        <w:t> </w:t>
      </w:r>
      <w:r w:rsidRPr="00DA6290">
        <w:rPr>
          <w:b w:val="0"/>
          <w:sz w:val="24"/>
          <w:szCs w:val="24"/>
        </w:rPr>
        <w:t xml:space="preserve">», </w:t>
      </w:r>
      <w:r w:rsidRPr="00DA6290">
        <w:rPr>
          <w:b w:val="0"/>
          <w:i/>
          <w:sz w:val="24"/>
          <w:szCs w:val="24"/>
        </w:rPr>
        <w:t>Le Monde</w:t>
      </w:r>
      <w:r>
        <w:rPr>
          <w:b w:val="0"/>
          <w:sz w:val="24"/>
          <w:szCs w:val="24"/>
        </w:rPr>
        <w:t xml:space="preserve">, </w:t>
      </w:r>
      <w:r w:rsidR="00A97671">
        <w:rPr>
          <w:b w:val="0"/>
          <w:sz w:val="24"/>
          <w:szCs w:val="24"/>
        </w:rPr>
        <w:t>Paris,</w:t>
      </w:r>
      <w:r w:rsidR="00A9767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12 février 2023</w:t>
      </w:r>
    </w:p>
    <w:p w14:paraId="726A18F4" w14:textId="48A65C53" w:rsidR="00346F1D" w:rsidRPr="00DA6290" w:rsidRDefault="00346F1D" w:rsidP="00FA2E1E">
      <w:pPr>
        <w:pStyle w:val="Titre1"/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color w:val="2A303B"/>
          <w:sz w:val="24"/>
          <w:szCs w:val="24"/>
        </w:rPr>
      </w:pPr>
      <w:r w:rsidRPr="00CA2D4E">
        <w:rPr>
          <w:bCs w:val="0"/>
          <w:sz w:val="24"/>
          <w:szCs w:val="24"/>
        </w:rPr>
        <w:t>Sokic A.</w:t>
      </w:r>
      <w:r w:rsidRPr="00DA6290">
        <w:rPr>
          <w:b w:val="0"/>
          <w:sz w:val="24"/>
          <w:szCs w:val="24"/>
        </w:rPr>
        <w:t xml:space="preserve"> (2022), « </w:t>
      </w:r>
      <w:r w:rsidR="0093185B" w:rsidRPr="00DA6290">
        <w:rPr>
          <w:b w:val="0"/>
          <w:color w:val="2A303B"/>
          <w:sz w:val="24"/>
          <w:szCs w:val="24"/>
        </w:rPr>
        <w:t>La limite de la capacité de traitement de transactions du bitcoin démontre l’impossibilité de son adoption comme monnaie alternative </w:t>
      </w:r>
      <w:r w:rsidRPr="00DA6290">
        <w:rPr>
          <w:b w:val="0"/>
          <w:sz w:val="24"/>
          <w:szCs w:val="24"/>
        </w:rPr>
        <w:t xml:space="preserve">», </w:t>
      </w:r>
      <w:r w:rsidRPr="00DA6290">
        <w:rPr>
          <w:b w:val="0"/>
          <w:i/>
          <w:sz w:val="24"/>
          <w:szCs w:val="24"/>
        </w:rPr>
        <w:t>Le Monde</w:t>
      </w:r>
      <w:r w:rsidRPr="00DA6290">
        <w:rPr>
          <w:b w:val="0"/>
          <w:sz w:val="24"/>
          <w:szCs w:val="24"/>
        </w:rPr>
        <w:t xml:space="preserve">, </w:t>
      </w:r>
      <w:r w:rsidR="00A97671">
        <w:rPr>
          <w:b w:val="0"/>
          <w:sz w:val="24"/>
          <w:szCs w:val="24"/>
        </w:rPr>
        <w:t>Paris,</w:t>
      </w:r>
      <w:r w:rsidR="00A97671">
        <w:rPr>
          <w:b w:val="0"/>
          <w:sz w:val="24"/>
          <w:szCs w:val="24"/>
        </w:rPr>
        <w:t xml:space="preserve"> </w:t>
      </w:r>
      <w:r w:rsidRPr="00DA6290">
        <w:rPr>
          <w:b w:val="0"/>
          <w:sz w:val="24"/>
          <w:szCs w:val="24"/>
        </w:rPr>
        <w:t>14 juillet 2022</w:t>
      </w:r>
    </w:p>
    <w:p w14:paraId="6B4C4B17" w14:textId="13C7E50F" w:rsidR="00EB6F6E" w:rsidRDefault="00EB6F6E" w:rsidP="00FA2E1E">
      <w:pPr>
        <w:ind w:left="284" w:hanging="284"/>
        <w:jc w:val="both"/>
      </w:pPr>
      <w:r w:rsidRPr="00CA2D4E">
        <w:rPr>
          <w:b/>
          <w:bCs/>
        </w:rPr>
        <w:t>Sokic A.</w:t>
      </w:r>
      <w:r>
        <w:t xml:space="preserve"> (2022), « Le bitcoin », podcast </w:t>
      </w:r>
      <w:r w:rsidR="002757FB">
        <w:t>« </w:t>
      </w:r>
      <w:r>
        <w:t>Libres Echanges</w:t>
      </w:r>
      <w:r w:rsidR="002757FB">
        <w:t> », ESCE</w:t>
      </w:r>
    </w:p>
    <w:p w14:paraId="68E99455" w14:textId="08F897A4" w:rsidR="00EB6F6E" w:rsidRDefault="00EB6F6E" w:rsidP="00FA2E1E">
      <w:pPr>
        <w:ind w:left="284" w:hanging="284"/>
        <w:jc w:val="both"/>
      </w:pPr>
      <w:r w:rsidRPr="00CA2D4E">
        <w:rPr>
          <w:b/>
          <w:bCs/>
        </w:rPr>
        <w:t>Sokic A.</w:t>
      </w:r>
      <w:r>
        <w:t xml:space="preserve"> (2021), « Bitcoin :les arbres montent-ils jusqu’au ciel ? »,</w:t>
      </w:r>
      <w:r w:rsidRPr="00EB6F6E">
        <w:t xml:space="preserve"> </w:t>
      </w:r>
      <w:r w:rsidR="00A97671">
        <w:t xml:space="preserve">Table ronde </w:t>
      </w:r>
      <w:r>
        <w:t>Débat</w:t>
      </w:r>
      <w:r w:rsidR="00A97671">
        <w:t>,</w:t>
      </w:r>
      <w:r>
        <w:t xml:space="preserve"> Investir Groupe Les Echos, </w:t>
      </w:r>
      <w:hyperlink r:id="rId13" w:history="1">
        <w:r w:rsidRPr="003A6012">
          <w:rPr>
            <w:rStyle w:val="Lienhypertexte"/>
          </w:rPr>
          <w:t>https://videos.lesechos.fr/investir/investir-en-video/bitcoin-les-arbres-montent-ils-jusquau-ciel/q0vrkp3</w:t>
        </w:r>
      </w:hyperlink>
      <w:r>
        <w:t xml:space="preserve"> </w:t>
      </w:r>
    </w:p>
    <w:p w14:paraId="63EC7F22" w14:textId="34FC205C" w:rsidR="006A4533" w:rsidRDefault="006A4533" w:rsidP="00FA2E1E">
      <w:pPr>
        <w:ind w:left="284" w:hanging="284"/>
        <w:jc w:val="both"/>
      </w:pPr>
      <w:r w:rsidRPr="00CA2D4E">
        <w:rPr>
          <w:b/>
          <w:bCs/>
        </w:rPr>
        <w:t>Sokic A.</w:t>
      </w:r>
      <w:r>
        <w:t xml:space="preserve"> (2021), « </w:t>
      </w:r>
      <w:r w:rsidR="00DA6290">
        <w:t>Deux propriétés essentielles du bitcoin expliquent la dynamique impressionnante de son prix</w:t>
      </w:r>
      <w:r>
        <w:t xml:space="preserve"> », </w:t>
      </w:r>
      <w:r w:rsidRPr="000E36C0">
        <w:rPr>
          <w:i/>
        </w:rPr>
        <w:t>Le Monde</w:t>
      </w:r>
      <w:r>
        <w:t xml:space="preserve">, </w:t>
      </w:r>
      <w:r w:rsidR="00A97671" w:rsidRPr="00A97671">
        <w:rPr>
          <w:bCs/>
        </w:rPr>
        <w:t>Paris,</w:t>
      </w:r>
      <w:r w:rsidR="00A97671">
        <w:rPr>
          <w:b/>
        </w:rPr>
        <w:t xml:space="preserve"> </w:t>
      </w:r>
      <w:r>
        <w:t>3 février 2021</w:t>
      </w:r>
    </w:p>
    <w:p w14:paraId="02D617AB" w14:textId="049F7D9F" w:rsidR="000E36C0" w:rsidRDefault="000E36C0" w:rsidP="00FA2E1E">
      <w:pPr>
        <w:ind w:left="284" w:hanging="284"/>
        <w:jc w:val="both"/>
      </w:pPr>
      <w:r w:rsidRPr="00CA2D4E">
        <w:rPr>
          <w:b/>
          <w:bCs/>
        </w:rPr>
        <w:t>Sokic A.</w:t>
      </w:r>
      <w:r>
        <w:t xml:space="preserve"> &amp; Mutascu M. (2020), « </w:t>
      </w:r>
      <w:r w:rsidR="00475CF5">
        <w:t>Quand on parle de monétisation de la dette, il faut bien distinguer base monétaire et masse monétaire</w:t>
      </w:r>
      <w:r>
        <w:t xml:space="preserve"> », </w:t>
      </w:r>
      <w:r w:rsidRPr="000E36C0">
        <w:rPr>
          <w:i/>
        </w:rPr>
        <w:t>Le Monde</w:t>
      </w:r>
      <w:r>
        <w:t>,</w:t>
      </w:r>
      <w:r w:rsidRPr="00A97671">
        <w:rPr>
          <w:bCs/>
        </w:rPr>
        <w:t xml:space="preserve"> </w:t>
      </w:r>
      <w:r w:rsidR="00A97671" w:rsidRPr="00A97671">
        <w:rPr>
          <w:bCs/>
        </w:rPr>
        <w:t>Paris,</w:t>
      </w:r>
      <w:r w:rsidR="00A97671" w:rsidRPr="00A97671">
        <w:rPr>
          <w:bCs/>
        </w:rPr>
        <w:t xml:space="preserve"> </w:t>
      </w:r>
      <w:r>
        <w:t>6 juillet 2020.</w:t>
      </w:r>
    </w:p>
    <w:p w14:paraId="6A56A634" w14:textId="77777777" w:rsidR="00C839E8" w:rsidRPr="00B90F6F" w:rsidRDefault="00C839E8" w:rsidP="00C839E8">
      <w:pPr>
        <w:ind w:left="284" w:hanging="284"/>
        <w:jc w:val="both"/>
      </w:pPr>
      <w:r w:rsidRPr="00CA2D4E">
        <w:rPr>
          <w:b/>
          <w:bCs/>
        </w:rPr>
        <w:t>Sokic A.</w:t>
      </w:r>
      <w:r>
        <w:t xml:space="preserve"> (2020</w:t>
      </w:r>
      <w:r w:rsidRPr="00B90F6F">
        <w:t>),</w:t>
      </w:r>
      <w:r>
        <w:t xml:space="preserve"> « L’euro, un rempart contre l’hyperinflation</w:t>
      </w:r>
      <w:r w:rsidRPr="00B90F6F">
        <w:rPr>
          <w:b/>
        </w:rPr>
        <w:t xml:space="preserve"> </w:t>
      </w:r>
      <w:r w:rsidRPr="00B90F6F">
        <w:t xml:space="preserve">», </w:t>
      </w:r>
      <w:r>
        <w:rPr>
          <w:i/>
        </w:rPr>
        <w:t>The Conversation</w:t>
      </w:r>
      <w:r w:rsidRPr="00B90F6F">
        <w:rPr>
          <w:i/>
        </w:rPr>
        <w:t xml:space="preserve">, </w:t>
      </w:r>
      <w:r w:rsidR="007F300B" w:rsidRPr="007F300B">
        <w:t xml:space="preserve">10 </w:t>
      </w:r>
      <w:r>
        <w:t>juin 2020</w:t>
      </w:r>
      <w:r w:rsidR="000E36C0">
        <w:t>.</w:t>
      </w:r>
    </w:p>
    <w:p w14:paraId="193303BE" w14:textId="77777777" w:rsidR="00BA5478" w:rsidRDefault="00BA5478" w:rsidP="00BA5478">
      <w:pPr>
        <w:pStyle w:val="Titre1"/>
        <w:shd w:val="clear" w:color="auto" w:fill="FFFFFF"/>
        <w:spacing w:before="0" w:beforeAutospacing="0" w:after="0" w:afterAutospacing="0"/>
        <w:ind w:left="284" w:hanging="284"/>
        <w:jc w:val="both"/>
        <w:rPr>
          <w:b w:val="0"/>
          <w:sz w:val="24"/>
          <w:szCs w:val="24"/>
        </w:rPr>
      </w:pPr>
      <w:r w:rsidRPr="00CA2D4E">
        <w:rPr>
          <w:bCs w:val="0"/>
          <w:sz w:val="24"/>
          <w:szCs w:val="24"/>
        </w:rPr>
        <w:t>Sokic A.</w:t>
      </w:r>
      <w:r>
        <w:rPr>
          <w:b w:val="0"/>
          <w:sz w:val="24"/>
          <w:szCs w:val="24"/>
        </w:rPr>
        <w:t xml:space="preserve"> (2015</w:t>
      </w:r>
      <w:r w:rsidRPr="00DA6290">
        <w:rPr>
          <w:b w:val="0"/>
          <w:sz w:val="24"/>
          <w:szCs w:val="24"/>
        </w:rPr>
        <w:t>), « </w:t>
      </w:r>
      <w:r>
        <w:rPr>
          <w:b w:val="0"/>
          <w:sz w:val="24"/>
          <w:szCs w:val="24"/>
        </w:rPr>
        <w:t>L’enseignement de la finance à l’Esce »</w:t>
      </w:r>
      <w:r w:rsidRPr="00DA6290">
        <w:rPr>
          <w:b w:val="0"/>
          <w:sz w:val="24"/>
          <w:szCs w:val="24"/>
        </w:rPr>
        <w:t xml:space="preserve">, </w:t>
      </w:r>
      <w:r w:rsidR="009920F7" w:rsidRPr="009920F7">
        <w:rPr>
          <w:b w:val="0"/>
          <w:i/>
          <w:sz w:val="24"/>
          <w:szCs w:val="24"/>
        </w:rPr>
        <w:t xml:space="preserve">Le </w:t>
      </w:r>
      <w:r w:rsidRPr="00DA6290">
        <w:rPr>
          <w:b w:val="0"/>
          <w:i/>
          <w:sz w:val="24"/>
          <w:szCs w:val="24"/>
        </w:rPr>
        <w:t>Monde</w:t>
      </w:r>
      <w:r>
        <w:rPr>
          <w:b w:val="0"/>
          <w:i/>
          <w:sz w:val="24"/>
          <w:szCs w:val="24"/>
        </w:rPr>
        <w:t xml:space="preserve"> des Grandes Ecoles</w:t>
      </w:r>
      <w:r>
        <w:rPr>
          <w:b w:val="0"/>
          <w:sz w:val="24"/>
          <w:szCs w:val="24"/>
        </w:rPr>
        <w:t>, 8 décembre 2015</w:t>
      </w:r>
    </w:p>
    <w:p w14:paraId="55235B40" w14:textId="77777777" w:rsidR="007256EF" w:rsidRPr="00B90F6F" w:rsidRDefault="007256EF" w:rsidP="00610A1D">
      <w:pPr>
        <w:ind w:left="284" w:hanging="284"/>
        <w:jc w:val="both"/>
      </w:pPr>
      <w:r w:rsidRPr="00CA2D4E">
        <w:rPr>
          <w:b/>
          <w:bCs/>
        </w:rPr>
        <w:t>Sokic A</w:t>
      </w:r>
      <w:r w:rsidRPr="00B90F6F">
        <w:t xml:space="preserve">. (2015), « </w:t>
      </w:r>
      <w:r w:rsidR="006928E9" w:rsidRPr="006928E9">
        <w:rPr>
          <w:shd w:val="clear" w:color="auto" w:fill="FFFFFF"/>
        </w:rPr>
        <w:t>Monténégro, Kosovo : un euro hors zone</w:t>
      </w:r>
      <w:r w:rsidRPr="00B90F6F">
        <w:rPr>
          <w:b/>
        </w:rPr>
        <w:t xml:space="preserve"> </w:t>
      </w:r>
      <w:r w:rsidRPr="00B90F6F">
        <w:t xml:space="preserve">», </w:t>
      </w:r>
      <w:r w:rsidRPr="00B90F6F">
        <w:rPr>
          <w:i/>
        </w:rPr>
        <w:t xml:space="preserve">Questions Internationales, </w:t>
      </w:r>
      <w:r>
        <w:t xml:space="preserve">La </w:t>
      </w:r>
      <w:r w:rsidRPr="005048AE">
        <w:t>Documentation Française</w:t>
      </w:r>
      <w:r w:rsidRPr="00B90F6F">
        <w:rPr>
          <w:i/>
        </w:rPr>
        <w:t>,</w:t>
      </w:r>
      <w:r w:rsidRPr="00B90F6F">
        <w:t xml:space="preserve"> n°76</w:t>
      </w:r>
      <w:r w:rsidR="000E36C0">
        <w:t>.</w:t>
      </w:r>
    </w:p>
    <w:p w14:paraId="48708E2D" w14:textId="77777777" w:rsidR="00610A1D" w:rsidRDefault="00C03F64" w:rsidP="00390437">
      <w:pPr>
        <w:ind w:left="284" w:hanging="284"/>
        <w:jc w:val="both"/>
      </w:pPr>
      <w:r w:rsidRPr="00CA2D4E">
        <w:rPr>
          <w:b/>
          <w:bCs/>
        </w:rPr>
        <w:t>Sokic A.</w:t>
      </w:r>
      <w:r>
        <w:t xml:space="preserve"> et </w:t>
      </w:r>
      <w:r w:rsidR="00610A1D">
        <w:t>Lessoua</w:t>
      </w:r>
      <w:r>
        <w:t xml:space="preserve"> A.</w:t>
      </w:r>
      <w:r w:rsidR="00610A1D">
        <w:t xml:space="preserve"> (2012),</w:t>
      </w:r>
      <w:r w:rsidR="00610A1D" w:rsidRPr="008B5E06">
        <w:t xml:space="preserve"> </w:t>
      </w:r>
      <w:r w:rsidR="00610A1D" w:rsidRPr="00394810">
        <w:t>« </w:t>
      </w:r>
      <w:r w:rsidR="00610A1D">
        <w:t>Union monétaire</w:t>
      </w:r>
      <w:r w:rsidR="00610A1D" w:rsidRPr="00CF4734">
        <w:t xml:space="preserve"> et compétitivité comparée : </w:t>
      </w:r>
      <w:r w:rsidR="00610A1D">
        <w:t xml:space="preserve">les cas de la </w:t>
      </w:r>
      <w:r w:rsidR="00610A1D" w:rsidRPr="00CF4734">
        <w:t>zone euro et</w:t>
      </w:r>
      <w:r w:rsidR="00610A1D">
        <w:t xml:space="preserve"> de la</w:t>
      </w:r>
      <w:r w:rsidR="00610A1D" w:rsidRPr="00CF4734">
        <w:t xml:space="preserve"> zone CFA</w:t>
      </w:r>
      <w:r w:rsidR="00610A1D">
        <w:t xml:space="preserve"> », </w:t>
      </w:r>
      <w:r w:rsidR="00610A1D" w:rsidRPr="00394810">
        <w:rPr>
          <w:i/>
        </w:rPr>
        <w:t>Bulletin de l’Observatoire des Politiques Economiques en Europe</w:t>
      </w:r>
      <w:r w:rsidR="00610A1D">
        <w:t>, n°26, Eté 2012, pp. 19-25</w:t>
      </w:r>
      <w:r w:rsidR="00610A1D" w:rsidRPr="00394810">
        <w:t>.</w:t>
      </w:r>
    </w:p>
    <w:p w14:paraId="210B2BB7" w14:textId="77777777" w:rsidR="00610A1D" w:rsidRPr="00394810" w:rsidRDefault="00610A1D" w:rsidP="00610A1D">
      <w:pPr>
        <w:ind w:left="284" w:hanging="284"/>
        <w:jc w:val="both"/>
      </w:pPr>
      <w:r w:rsidRPr="00CA2D4E">
        <w:rPr>
          <w:b/>
          <w:bCs/>
        </w:rPr>
        <w:t>Sokic A.</w:t>
      </w:r>
      <w:r>
        <w:t xml:space="preserve"> (2011),</w:t>
      </w:r>
      <w:r w:rsidRPr="008B5E06">
        <w:t xml:space="preserve"> </w:t>
      </w:r>
      <w:r w:rsidRPr="00394810">
        <w:t>« </w:t>
      </w:r>
      <w:r>
        <w:t>Crise budgétaire dans la zone euro, BCE et hyperinflation</w:t>
      </w:r>
      <w:r w:rsidRPr="00394810">
        <w:t xml:space="preserve"> », </w:t>
      </w:r>
      <w:r w:rsidRPr="00394810">
        <w:rPr>
          <w:i/>
        </w:rPr>
        <w:t>Bulletin de l’Observatoire des Politiques Economiques en Europe</w:t>
      </w:r>
      <w:r>
        <w:t>, n°24, Eté 2011, pp. 25-32</w:t>
      </w:r>
      <w:r w:rsidRPr="00394810">
        <w:t>.</w:t>
      </w:r>
    </w:p>
    <w:p w14:paraId="4498DD61" w14:textId="77777777" w:rsidR="00610A1D" w:rsidRPr="00394810" w:rsidRDefault="00610A1D" w:rsidP="00610A1D">
      <w:pPr>
        <w:ind w:left="284" w:hanging="284"/>
        <w:jc w:val="both"/>
      </w:pPr>
      <w:r w:rsidRPr="00CA2D4E">
        <w:rPr>
          <w:b/>
          <w:bCs/>
        </w:rPr>
        <w:t>Sokic A.</w:t>
      </w:r>
      <w:r w:rsidRPr="00394810">
        <w:t xml:space="preserve"> (2007), « Elargissement de l’UE et CEFTA : recomposition d’une zone de libre échange dans les Balkans », </w:t>
      </w:r>
      <w:r w:rsidRPr="00394810">
        <w:rPr>
          <w:i/>
        </w:rPr>
        <w:t>Bulletin de l’Observatoire des Politiques Economiques en Europe</w:t>
      </w:r>
      <w:r w:rsidRPr="00394810">
        <w:t>, n°17, hiver 2007, pp. 21-24.</w:t>
      </w:r>
    </w:p>
    <w:p w14:paraId="37719A2C" w14:textId="77777777" w:rsidR="00610A1D" w:rsidRDefault="00610A1D" w:rsidP="00610A1D">
      <w:pPr>
        <w:ind w:left="284" w:hanging="284"/>
        <w:jc w:val="both"/>
      </w:pPr>
      <w:r w:rsidRPr="00CA2D4E">
        <w:rPr>
          <w:b/>
          <w:bCs/>
        </w:rPr>
        <w:t>Sokic A.</w:t>
      </w:r>
      <w:r w:rsidRPr="00394810">
        <w:t xml:space="preserve"> (2007), « Euroisation unilatérale dans les Balkans », </w:t>
      </w:r>
      <w:r w:rsidRPr="00394810">
        <w:rPr>
          <w:i/>
        </w:rPr>
        <w:t>Bulletin de l’Observatoire des Politiques Economiques en Europe</w:t>
      </w:r>
      <w:r w:rsidRPr="00394810">
        <w:t>, n°16, printemps 2007, pp. 20-27.</w:t>
      </w:r>
    </w:p>
    <w:p w14:paraId="1C344BD9" w14:textId="77777777" w:rsidR="00610A1D" w:rsidRDefault="00610A1D" w:rsidP="00610A1D">
      <w:pPr>
        <w:ind w:left="284" w:hanging="284"/>
        <w:jc w:val="both"/>
      </w:pPr>
      <w:r w:rsidRPr="00CA2D4E">
        <w:rPr>
          <w:b/>
          <w:bCs/>
        </w:rPr>
        <w:t>Sokic A.</w:t>
      </w:r>
      <w:r w:rsidRPr="00394810">
        <w:t xml:space="preserve"> (2006), « Convergences réelle et nominale dans les Pays d’Europe Centrale et Orientale : quels délais ? », </w:t>
      </w:r>
      <w:r w:rsidRPr="00394810">
        <w:rPr>
          <w:i/>
        </w:rPr>
        <w:t>Bulletin de l’Observatoire des Politiques Economiques en Europe</w:t>
      </w:r>
      <w:r w:rsidRPr="00394810">
        <w:t>, n°14, printemps 2006, pp. 19-24.</w:t>
      </w:r>
    </w:p>
    <w:p w14:paraId="1D4E90B6" w14:textId="77777777" w:rsidR="00610A1D" w:rsidRDefault="00610A1D" w:rsidP="00610A1D">
      <w:pPr>
        <w:ind w:left="284" w:hanging="284"/>
        <w:jc w:val="both"/>
        <w:rPr>
          <w:lang w:val="en-GB"/>
        </w:rPr>
      </w:pPr>
      <w:r w:rsidRPr="00CA2D4E">
        <w:rPr>
          <w:b/>
          <w:bCs/>
          <w:lang w:val="en-GB"/>
        </w:rPr>
        <w:t>Sokic A.</w:t>
      </w:r>
      <w:r w:rsidRPr="00394810">
        <w:rPr>
          <w:lang w:val="en-GB"/>
        </w:rPr>
        <w:t xml:space="preserve"> (2006), “The process of real and nominal convergence in Central and Eastern European countries: some interesting delays”, </w:t>
      </w:r>
      <w:r w:rsidRPr="00394810">
        <w:rPr>
          <w:i/>
          <w:lang w:val="en-GB"/>
        </w:rPr>
        <w:t>Update Forschung &amp; Wirtschaft</w:t>
      </w:r>
      <w:r w:rsidRPr="00394810">
        <w:rPr>
          <w:lang w:val="en-GB"/>
        </w:rPr>
        <w:t>-</w:t>
      </w:r>
      <w:r w:rsidRPr="00394810">
        <w:rPr>
          <w:i/>
          <w:lang w:val="en-GB"/>
        </w:rPr>
        <w:t>University of Applied Sciences of Mainz</w:t>
      </w:r>
      <w:r w:rsidRPr="00394810">
        <w:rPr>
          <w:lang w:val="en-GB"/>
        </w:rPr>
        <w:t>, n°2, pp. 32-34.</w:t>
      </w:r>
    </w:p>
    <w:p w14:paraId="6A125787" w14:textId="2008314B" w:rsidR="00610A1D" w:rsidRDefault="00610A1D" w:rsidP="00610A1D">
      <w:pPr>
        <w:ind w:left="284" w:hanging="284"/>
        <w:jc w:val="both"/>
        <w:rPr>
          <w:iCs/>
        </w:rPr>
      </w:pPr>
      <w:r w:rsidRPr="00CA2D4E">
        <w:rPr>
          <w:b/>
          <w:bCs/>
        </w:rPr>
        <w:t>Sokic A.</w:t>
      </w:r>
      <w:r w:rsidRPr="008A3B5E">
        <w:t xml:space="preserve"> (2005), « Séchage du bois et compétitivité du bois-énergie </w:t>
      </w:r>
      <w:r w:rsidR="00A97671" w:rsidRPr="008A3B5E">
        <w:t>», Les</w:t>
      </w:r>
      <w:r w:rsidRPr="008A3B5E">
        <w:rPr>
          <w:i/>
          <w:iCs/>
        </w:rPr>
        <w:t xml:space="preserve"> Cahiers Scientifiques du Bois</w:t>
      </w:r>
      <w:r w:rsidRPr="008A3B5E">
        <w:rPr>
          <w:iCs/>
        </w:rPr>
        <w:t>, vol. 3, pp. 277- 290.</w:t>
      </w:r>
    </w:p>
    <w:p w14:paraId="5CB4C5D6" w14:textId="77777777" w:rsidR="00610A1D" w:rsidRDefault="00610A1D" w:rsidP="00610A1D">
      <w:pPr>
        <w:ind w:left="284" w:hanging="284"/>
        <w:jc w:val="both"/>
      </w:pPr>
      <w:r w:rsidRPr="00CA2D4E">
        <w:rPr>
          <w:b/>
          <w:bCs/>
        </w:rPr>
        <w:t>Sokic A.</w:t>
      </w:r>
      <w:r w:rsidRPr="00394810">
        <w:t xml:space="preserve"> (2003), « Commerce extérieur français des sciages de chêne et taux de change de l’euro contre le dollar », </w:t>
      </w:r>
      <w:smartTag w:uri="urn:schemas-microsoft-com:office:smarttags" w:element="PersonName">
        <w:smartTagPr>
          <w:attr w:name="ProductID" w:val="La Lettre"/>
        </w:smartTagPr>
        <w:r w:rsidRPr="00394810">
          <w:rPr>
            <w:i/>
            <w:iCs/>
          </w:rPr>
          <w:t>La Lettre</w:t>
        </w:r>
      </w:smartTag>
      <w:r w:rsidRPr="00394810">
        <w:rPr>
          <w:i/>
          <w:iCs/>
        </w:rPr>
        <w:t xml:space="preserve"> du Bois</w:t>
      </w:r>
      <w:r w:rsidRPr="00394810">
        <w:t>, n°21, Mai.</w:t>
      </w:r>
    </w:p>
    <w:p w14:paraId="1E167CE2" w14:textId="77777777" w:rsidR="00610A1D" w:rsidRPr="00394810" w:rsidRDefault="00610A1D" w:rsidP="00610A1D">
      <w:pPr>
        <w:ind w:left="284" w:hanging="284"/>
        <w:jc w:val="both"/>
      </w:pPr>
      <w:r w:rsidRPr="00CA2D4E">
        <w:rPr>
          <w:b/>
          <w:bCs/>
        </w:rPr>
        <w:t>Sokic A.</w:t>
      </w:r>
      <w:r w:rsidRPr="00394810">
        <w:t xml:space="preserve"> (2001), « Hausse du prix du pétrole et dépréciation de l’euro : les risques pour la filière bois”, </w:t>
      </w:r>
      <w:r w:rsidRPr="00394810">
        <w:rPr>
          <w:i/>
          <w:iCs/>
        </w:rPr>
        <w:t>Forêts de France</w:t>
      </w:r>
      <w:r w:rsidRPr="00394810">
        <w:t>, n° 440, pp. 21-24.</w:t>
      </w:r>
    </w:p>
    <w:p w14:paraId="5FC1B148" w14:textId="77777777" w:rsidR="00610A1D" w:rsidRPr="007256EF" w:rsidRDefault="00610A1D" w:rsidP="00610A1D">
      <w:pPr>
        <w:jc w:val="both"/>
      </w:pPr>
    </w:p>
    <w:p w14:paraId="3952326E" w14:textId="3E5873FE" w:rsidR="00CA2D4E" w:rsidRPr="00CA2D4E" w:rsidRDefault="00CA2D4E" w:rsidP="00CA2D4E">
      <w:pPr>
        <w:pStyle w:val="Titre1"/>
        <w:shd w:val="clear" w:color="auto" w:fill="FFFFFF"/>
        <w:spacing w:before="0" w:beforeAutospacing="0" w:after="0" w:afterAutospacing="0"/>
        <w:jc w:val="both"/>
        <w:rPr>
          <w:rFonts w:ascii="DejaVu Sans" w:eastAsia="DejaVu Sans" w:hAnsi="DejaVu Sans" w:cs="DejaVu Sans"/>
          <w:color w:val="889532"/>
          <w:sz w:val="22"/>
          <w:lang w:val="en-GB"/>
        </w:rPr>
      </w:pPr>
      <w:r>
        <w:rPr>
          <w:rFonts w:ascii="DejaVu Sans" w:eastAsia="DejaVu Sans" w:hAnsi="DejaVu Sans" w:cs="DejaVu Sans"/>
          <w:color w:val="889532"/>
          <w:sz w:val="22"/>
          <w:lang w:val="en-GB"/>
        </w:rPr>
        <w:lastRenderedPageBreak/>
        <w:t>Working papers</w:t>
      </w:r>
    </w:p>
    <w:p w14:paraId="35F25353" w14:textId="77777777" w:rsidR="00F3785F" w:rsidRDefault="00F3785F" w:rsidP="00F611E1">
      <w:pPr>
        <w:ind w:left="284" w:hanging="284"/>
        <w:jc w:val="both"/>
        <w:rPr>
          <w:lang w:val="en-GB"/>
        </w:rPr>
      </w:pPr>
      <w:r w:rsidRPr="00CA2D4E">
        <w:rPr>
          <w:b/>
          <w:bCs/>
          <w:lang w:val="en-US"/>
        </w:rPr>
        <w:t>Sokic A.</w:t>
      </w:r>
      <w:r>
        <w:rPr>
          <w:lang w:val="en-US"/>
        </w:rPr>
        <w:t xml:space="preserve"> (2018</w:t>
      </w:r>
      <w:r w:rsidRPr="002C6B29">
        <w:rPr>
          <w:lang w:val="en-US"/>
        </w:rPr>
        <w:t>), « Bitcoin and hyperdeflation :</w:t>
      </w:r>
      <w:r>
        <w:rPr>
          <w:lang w:val="en-US"/>
        </w:rPr>
        <w:t xml:space="preserve"> an optimizing monetary </w:t>
      </w:r>
      <w:r w:rsidRPr="002C6B29">
        <w:rPr>
          <w:lang w:val="en-US"/>
        </w:rPr>
        <w:t>approach</w:t>
      </w:r>
      <w:r>
        <w:rPr>
          <w:lang w:val="en-US"/>
        </w:rPr>
        <w:t xml:space="preserve"> », </w:t>
      </w:r>
      <w:r w:rsidRPr="00F515C9">
        <w:rPr>
          <w:lang w:val="en-US"/>
        </w:rPr>
        <w:t>MPRA paper 90603, University Library of Munich</w:t>
      </w:r>
      <w:r>
        <w:rPr>
          <w:lang w:val="en-US"/>
        </w:rPr>
        <w:t>, Germany.</w:t>
      </w:r>
    </w:p>
    <w:p w14:paraId="2C7354D2" w14:textId="77777777" w:rsidR="00F611E1" w:rsidRPr="00C7269B" w:rsidRDefault="00F611E1" w:rsidP="00F611E1">
      <w:pPr>
        <w:ind w:left="284" w:hanging="284"/>
        <w:jc w:val="both"/>
        <w:rPr>
          <w:lang w:val="en-GB"/>
        </w:rPr>
      </w:pPr>
      <w:r w:rsidRPr="00CA2D4E">
        <w:rPr>
          <w:b/>
          <w:bCs/>
          <w:lang w:val="en-GB"/>
        </w:rPr>
        <w:t>Sokic A.</w:t>
      </w:r>
      <w:r w:rsidRPr="00C7269B">
        <w:rPr>
          <w:lang w:val="en-GB"/>
        </w:rPr>
        <w:t xml:space="preserve"> (2010), « The monetary analysis of hyperinflation and the appropriate specification of the demand for money », MPRA Paper n° 21503, University Library of Munich, Germany.</w:t>
      </w:r>
    </w:p>
    <w:p w14:paraId="5F89C292" w14:textId="77777777" w:rsidR="00F611E1" w:rsidRPr="006428DB" w:rsidRDefault="00F611E1" w:rsidP="00F611E1">
      <w:pPr>
        <w:pStyle w:val="Retraitcorpsdetexte2"/>
        <w:ind w:left="284" w:hanging="284"/>
        <w:jc w:val="both"/>
        <w:rPr>
          <w:lang w:val="en-GB"/>
        </w:rPr>
      </w:pPr>
      <w:r w:rsidRPr="00CA2D4E">
        <w:rPr>
          <w:b/>
          <w:bCs/>
          <w:lang w:val="en-GB"/>
        </w:rPr>
        <w:t>Sokic A.</w:t>
      </w:r>
      <w:r w:rsidRPr="006428DB">
        <w:rPr>
          <w:lang w:val="en-GB"/>
        </w:rPr>
        <w:t xml:space="preserve"> (2008), « Some theoretical support for a new class of demand for real cash balances in explosive hyperinflations», </w:t>
      </w:r>
      <w:r w:rsidRPr="006428DB">
        <w:rPr>
          <w:i/>
          <w:lang w:val="en-GB"/>
        </w:rPr>
        <w:t>Document de Travail du BETA n°2008-13, Série Working Papers du BETA</w:t>
      </w:r>
      <w:r w:rsidRPr="006428DB">
        <w:rPr>
          <w:lang w:val="en-GB"/>
        </w:rPr>
        <w:t>, Bureau d’Economie Théorique et Appliquée, Université de Strasbourg.</w:t>
      </w:r>
    </w:p>
    <w:p w14:paraId="42FA436A" w14:textId="77777777" w:rsidR="00F611E1" w:rsidRPr="00444009" w:rsidRDefault="00F611E1" w:rsidP="00F611E1">
      <w:pPr>
        <w:pStyle w:val="Retraitcorpsdetexte2"/>
        <w:ind w:left="284" w:hanging="284"/>
        <w:jc w:val="both"/>
        <w:rPr>
          <w:lang w:val="en-GB"/>
        </w:rPr>
      </w:pPr>
      <w:r w:rsidRPr="00CA2D4E">
        <w:rPr>
          <w:b/>
          <w:bCs/>
          <w:lang w:val="en-GB"/>
        </w:rPr>
        <w:t>Sokic A.</w:t>
      </w:r>
      <w:r w:rsidRPr="00444009">
        <w:rPr>
          <w:lang w:val="en-GB"/>
        </w:rPr>
        <w:t xml:space="preserve"> (2008), « Modelling the transaction role of money and the essentiality of money in a hyperinflation context », </w:t>
      </w:r>
      <w:r w:rsidRPr="00444009">
        <w:rPr>
          <w:i/>
          <w:lang w:val="en-GB"/>
        </w:rPr>
        <w:t>Document de Travail du BETA n°2008-12, Série Working Papers du BETA</w:t>
      </w:r>
      <w:r w:rsidRPr="00444009">
        <w:rPr>
          <w:lang w:val="en-GB"/>
        </w:rPr>
        <w:t>, Bureau d’Economie Théorique et Appliquée, Université de Strasbourg.</w:t>
      </w:r>
    </w:p>
    <w:p w14:paraId="15F91453" w14:textId="77777777" w:rsidR="00F611E1" w:rsidRPr="00394810" w:rsidRDefault="00F611E1" w:rsidP="00F611E1">
      <w:pPr>
        <w:pStyle w:val="Retraitcorpsdetexte2"/>
        <w:ind w:left="284" w:hanging="284"/>
        <w:jc w:val="both"/>
      </w:pPr>
      <w:r w:rsidRPr="00CA2D4E">
        <w:rPr>
          <w:b/>
          <w:bCs/>
        </w:rPr>
        <w:t>Sokic A.</w:t>
      </w:r>
      <w:r w:rsidRPr="00394810">
        <w:t xml:space="preserve"> (2007), «Monetary hyperinflations and money essentiality», </w:t>
      </w:r>
      <w:r w:rsidRPr="00394810">
        <w:rPr>
          <w:i/>
        </w:rPr>
        <w:t>Document de Travail du BETA n°2007-21, Série Working Papers du BETA</w:t>
      </w:r>
      <w:r w:rsidRPr="00394810">
        <w:t>, Bureau d’Economie Théorique et Appli</w:t>
      </w:r>
      <w:r>
        <w:t xml:space="preserve">quée, Université de </w:t>
      </w:r>
      <w:r w:rsidRPr="00394810">
        <w:t>Strasbourg.</w:t>
      </w:r>
    </w:p>
    <w:p w14:paraId="0F8D6D53" w14:textId="77777777" w:rsidR="00F611E1" w:rsidRPr="00394810" w:rsidRDefault="00F611E1" w:rsidP="00F611E1">
      <w:pPr>
        <w:pStyle w:val="Retraitcorpsdetexte2"/>
        <w:ind w:left="284" w:hanging="284"/>
        <w:jc w:val="both"/>
      </w:pPr>
      <w:r w:rsidRPr="00CA2D4E">
        <w:rPr>
          <w:b/>
          <w:bCs/>
        </w:rPr>
        <w:t>Sokic A.</w:t>
      </w:r>
      <w:r w:rsidRPr="00394810">
        <w:t xml:space="preserve"> (2007), «The monetary model of hyperinflation and the adaptive expectations: limits of the association and model validity», </w:t>
      </w:r>
      <w:r w:rsidRPr="00394810">
        <w:rPr>
          <w:i/>
        </w:rPr>
        <w:t>Document de Travail du BETA n°2007-09, Série Working Papers du BETA</w:t>
      </w:r>
      <w:r w:rsidRPr="00394810">
        <w:t>, Bureau d’Economie Théorique et Appli</w:t>
      </w:r>
      <w:r>
        <w:t xml:space="preserve">quée, Université de </w:t>
      </w:r>
      <w:r w:rsidRPr="00394810">
        <w:t>Strasbourg.</w:t>
      </w:r>
    </w:p>
    <w:p w14:paraId="3FA7D355" w14:textId="77777777" w:rsidR="00F611E1" w:rsidRPr="00394810" w:rsidRDefault="00F611E1" w:rsidP="00F611E1">
      <w:pPr>
        <w:pStyle w:val="Retraitcorpsdetexte2"/>
        <w:ind w:left="284" w:hanging="284"/>
        <w:jc w:val="both"/>
      </w:pPr>
      <w:r w:rsidRPr="00CA2D4E">
        <w:rPr>
          <w:b/>
          <w:bCs/>
        </w:rPr>
        <w:t>Sokic A.</w:t>
      </w:r>
      <w:r w:rsidRPr="00394810">
        <w:t xml:space="preserve"> (2007), «Monetary hyperinflations, speculative hyperinflations and modelling the use of money», </w:t>
      </w:r>
      <w:r w:rsidRPr="00394810">
        <w:rPr>
          <w:i/>
        </w:rPr>
        <w:t>Document de Travail du BETA n°2007-05, Série Working Papers du BETA</w:t>
      </w:r>
      <w:r w:rsidRPr="00394810">
        <w:t>, Bureau d’Economie Théorique et Appli</w:t>
      </w:r>
      <w:r>
        <w:t xml:space="preserve">quée, Université de </w:t>
      </w:r>
      <w:r w:rsidRPr="00394810">
        <w:t>Strasbourg.</w:t>
      </w:r>
    </w:p>
    <w:p w14:paraId="246336FA" w14:textId="77777777" w:rsidR="00F611E1" w:rsidRPr="00394810" w:rsidRDefault="00F611E1" w:rsidP="00F611E1">
      <w:pPr>
        <w:pStyle w:val="Retraitcorpsdetexte2"/>
        <w:ind w:left="284" w:hanging="284"/>
        <w:jc w:val="both"/>
      </w:pPr>
      <w:r w:rsidRPr="00CA2D4E">
        <w:rPr>
          <w:b/>
          <w:bCs/>
        </w:rPr>
        <w:t>Sokic A.</w:t>
      </w:r>
      <w:r w:rsidRPr="00394810">
        <w:t xml:space="preserve"> (2002), « Taille optimale dans l’industrie du séchage du bois et avantage compétitif du bois-énergie : une modélisation microéconomique », </w:t>
      </w:r>
      <w:r w:rsidRPr="00394810">
        <w:rPr>
          <w:i/>
          <w:iCs/>
        </w:rPr>
        <w:t>Document de Travail du BETA n° 2002-21, Série Working Papers du BETA</w:t>
      </w:r>
      <w:r w:rsidRPr="00394810">
        <w:t>, Bureau d’Economie Théorique et Appli</w:t>
      </w:r>
      <w:r>
        <w:t xml:space="preserve">quée, Université de </w:t>
      </w:r>
      <w:r w:rsidRPr="00394810">
        <w:t>Strasbourg.</w:t>
      </w:r>
    </w:p>
    <w:p w14:paraId="0D40D929" w14:textId="77777777" w:rsidR="00F611E1" w:rsidRPr="00394810" w:rsidRDefault="00F611E1" w:rsidP="00F611E1">
      <w:pPr>
        <w:ind w:left="284" w:hanging="284"/>
        <w:jc w:val="both"/>
      </w:pPr>
      <w:r w:rsidRPr="00CA2D4E">
        <w:rPr>
          <w:b/>
          <w:bCs/>
        </w:rPr>
        <w:t>Sokic A.</w:t>
      </w:r>
      <w:r w:rsidRPr="00394810">
        <w:t xml:space="preserve"> (1999), "Le modèle monétaire de l'hyperinflation : les résultats d'une version générale", </w:t>
      </w:r>
      <w:r w:rsidRPr="00394810">
        <w:rPr>
          <w:i/>
        </w:rPr>
        <w:t>Document de Travail du BETA n° 9918</w:t>
      </w:r>
      <w:r w:rsidRPr="00394810">
        <w:t>,</w:t>
      </w:r>
      <w:r w:rsidRPr="00394810">
        <w:rPr>
          <w:i/>
          <w:iCs/>
        </w:rPr>
        <w:t xml:space="preserve"> Série Working Papers du BETA,</w:t>
      </w:r>
      <w:r w:rsidRPr="00394810">
        <w:t xml:space="preserve"> Bureau d'Economie Théorique et Appliquée,</w:t>
      </w:r>
      <w:r>
        <w:t xml:space="preserve"> Université de </w:t>
      </w:r>
      <w:r w:rsidRPr="00394810">
        <w:t>Strasbourg.</w:t>
      </w:r>
    </w:p>
    <w:p w14:paraId="0BD7A030" w14:textId="77777777" w:rsidR="00F611E1" w:rsidRPr="00394810" w:rsidRDefault="00F611E1" w:rsidP="00F611E1">
      <w:pPr>
        <w:ind w:left="284" w:hanging="284"/>
        <w:jc w:val="both"/>
      </w:pPr>
      <w:r w:rsidRPr="00CA2D4E">
        <w:rPr>
          <w:b/>
          <w:bCs/>
        </w:rPr>
        <w:t>Sokic A.</w:t>
      </w:r>
      <w:r w:rsidRPr="00394810">
        <w:t xml:space="preserve"> (1999), "Crise budgétaire et piège hyperinflationniste : enseignements pour </w:t>
      </w:r>
      <w:smartTag w:uri="urn:schemas-microsoft-com:office:smarttags" w:element="PersonName">
        <w:smartTagPr>
          <w:attr w:name="ProductID" w:val="la Russie"/>
        </w:smartTagPr>
        <w:r w:rsidRPr="00394810">
          <w:t>la Russie</w:t>
        </w:r>
      </w:smartTag>
      <w:r w:rsidRPr="00394810">
        <w:t xml:space="preserve">", </w:t>
      </w:r>
      <w:r w:rsidRPr="00394810">
        <w:rPr>
          <w:i/>
        </w:rPr>
        <w:t>Document de Travail du BETA  n° 9911</w:t>
      </w:r>
      <w:r w:rsidRPr="00394810">
        <w:t>,</w:t>
      </w:r>
      <w:r w:rsidRPr="00394810">
        <w:rPr>
          <w:i/>
          <w:iCs/>
        </w:rPr>
        <w:t xml:space="preserve"> Série Working Papers du BETA,</w:t>
      </w:r>
      <w:r w:rsidRPr="00394810">
        <w:t xml:space="preserve"> Bureau d'Economie Théorique et Appliquée, Universit</w:t>
      </w:r>
      <w:r>
        <w:t xml:space="preserve">é de </w:t>
      </w:r>
      <w:r w:rsidRPr="00394810">
        <w:t>Strasbourg.</w:t>
      </w:r>
    </w:p>
    <w:p w14:paraId="28E83CD1" w14:textId="1191AF44" w:rsidR="004A36BF" w:rsidRPr="007256EF" w:rsidRDefault="00F611E1" w:rsidP="00CA2D4E">
      <w:pPr>
        <w:ind w:left="284" w:hanging="284"/>
        <w:jc w:val="both"/>
      </w:pPr>
      <w:r w:rsidRPr="00CA2D4E">
        <w:rPr>
          <w:b/>
          <w:bCs/>
        </w:rPr>
        <w:t>Sokic A.</w:t>
      </w:r>
      <w:r w:rsidRPr="00394810">
        <w:t xml:space="preserve"> (1993), "Déficits budgétaires, délais d'ajustements et hyperinflation", </w:t>
      </w:r>
      <w:r w:rsidRPr="00394810">
        <w:rPr>
          <w:i/>
        </w:rPr>
        <w:t>Document de Travail du BETA n° 9304</w:t>
      </w:r>
      <w:r w:rsidRPr="00394810">
        <w:t xml:space="preserve">, </w:t>
      </w:r>
      <w:r w:rsidRPr="00394810">
        <w:rPr>
          <w:i/>
          <w:iCs/>
        </w:rPr>
        <w:t>Série Working Papers du BETA,</w:t>
      </w:r>
      <w:r w:rsidRPr="00394810">
        <w:t xml:space="preserve"> Bureau d'Economie Théorique et Appl</w:t>
      </w:r>
      <w:r>
        <w:t xml:space="preserve">iquée, Université </w:t>
      </w:r>
      <w:r w:rsidRPr="00394810">
        <w:t>de Strasbourg.</w:t>
      </w:r>
    </w:p>
    <w:sectPr w:rsidR="004A36BF" w:rsidRPr="00725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altName w:val="Verdan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A3BB8"/>
    <w:multiLevelType w:val="hybridMultilevel"/>
    <w:tmpl w:val="2F121EE8"/>
    <w:lvl w:ilvl="0" w:tplc="9C1A01E6">
      <w:start w:val="1996"/>
      <w:numFmt w:val="bullet"/>
      <w:lvlText w:val="-"/>
      <w:lvlJc w:val="left"/>
      <w:pPr>
        <w:ind w:left="720" w:hanging="360"/>
      </w:pPr>
      <w:rPr>
        <w:rFonts w:ascii="DejaVu Sans" w:eastAsia="DejaVu Sans" w:hAnsi="DejaVu Sans" w:cs="DejaVu Sans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21DEA"/>
    <w:multiLevelType w:val="hybridMultilevel"/>
    <w:tmpl w:val="C32AA18A"/>
    <w:lvl w:ilvl="0" w:tplc="9B6C09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436D8"/>
    <w:multiLevelType w:val="hybridMultilevel"/>
    <w:tmpl w:val="752CA444"/>
    <w:lvl w:ilvl="0" w:tplc="9B6C09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7860166">
    <w:abstractNumId w:val="1"/>
  </w:num>
  <w:num w:numId="2" w16cid:durableId="1696536058">
    <w:abstractNumId w:val="2"/>
  </w:num>
  <w:num w:numId="3" w16cid:durableId="171619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879"/>
    <w:rsid w:val="0000610A"/>
    <w:rsid w:val="00022B9A"/>
    <w:rsid w:val="00047D36"/>
    <w:rsid w:val="00051BA6"/>
    <w:rsid w:val="000736DB"/>
    <w:rsid w:val="00085879"/>
    <w:rsid w:val="000A1A65"/>
    <w:rsid w:val="000E36C0"/>
    <w:rsid w:val="000F7554"/>
    <w:rsid w:val="00112CDA"/>
    <w:rsid w:val="00162DE0"/>
    <w:rsid w:val="001760AA"/>
    <w:rsid w:val="001C2E8C"/>
    <w:rsid w:val="002275F0"/>
    <w:rsid w:val="00247BA2"/>
    <w:rsid w:val="002757FB"/>
    <w:rsid w:val="00275EDE"/>
    <w:rsid w:val="00291C00"/>
    <w:rsid w:val="002B19C1"/>
    <w:rsid w:val="002E23A9"/>
    <w:rsid w:val="0031026F"/>
    <w:rsid w:val="00323293"/>
    <w:rsid w:val="003453D8"/>
    <w:rsid w:val="00346F1D"/>
    <w:rsid w:val="00361288"/>
    <w:rsid w:val="00390437"/>
    <w:rsid w:val="003B0B5B"/>
    <w:rsid w:val="003B6B26"/>
    <w:rsid w:val="003C3671"/>
    <w:rsid w:val="003D58C8"/>
    <w:rsid w:val="003E6CC7"/>
    <w:rsid w:val="003F453D"/>
    <w:rsid w:val="00450C20"/>
    <w:rsid w:val="00450DC1"/>
    <w:rsid w:val="004534E3"/>
    <w:rsid w:val="00461A15"/>
    <w:rsid w:val="00475CF5"/>
    <w:rsid w:val="004A36BF"/>
    <w:rsid w:val="004C0B0C"/>
    <w:rsid w:val="004C5E31"/>
    <w:rsid w:val="005056C8"/>
    <w:rsid w:val="005250D1"/>
    <w:rsid w:val="00550226"/>
    <w:rsid w:val="005B13D1"/>
    <w:rsid w:val="005F704A"/>
    <w:rsid w:val="00610A1D"/>
    <w:rsid w:val="006158F3"/>
    <w:rsid w:val="006643AE"/>
    <w:rsid w:val="006747B8"/>
    <w:rsid w:val="006928E9"/>
    <w:rsid w:val="00695F1B"/>
    <w:rsid w:val="006A4533"/>
    <w:rsid w:val="006D44CF"/>
    <w:rsid w:val="006F11AB"/>
    <w:rsid w:val="006F2008"/>
    <w:rsid w:val="006F4CD8"/>
    <w:rsid w:val="00712B42"/>
    <w:rsid w:val="0071467B"/>
    <w:rsid w:val="00722EFD"/>
    <w:rsid w:val="007256EF"/>
    <w:rsid w:val="00740549"/>
    <w:rsid w:val="007423B5"/>
    <w:rsid w:val="0076234E"/>
    <w:rsid w:val="007A20F2"/>
    <w:rsid w:val="007D094F"/>
    <w:rsid w:val="007F300B"/>
    <w:rsid w:val="00811AF7"/>
    <w:rsid w:val="008433B1"/>
    <w:rsid w:val="008A1D41"/>
    <w:rsid w:val="008D12C5"/>
    <w:rsid w:val="008D2B49"/>
    <w:rsid w:val="0090336B"/>
    <w:rsid w:val="00927605"/>
    <w:rsid w:val="00930823"/>
    <w:rsid w:val="0093185B"/>
    <w:rsid w:val="0094734D"/>
    <w:rsid w:val="00951AA0"/>
    <w:rsid w:val="009920F7"/>
    <w:rsid w:val="00997EBF"/>
    <w:rsid w:val="009A3F99"/>
    <w:rsid w:val="009C2510"/>
    <w:rsid w:val="009C53EA"/>
    <w:rsid w:val="009F0DD2"/>
    <w:rsid w:val="00A06794"/>
    <w:rsid w:val="00A2732D"/>
    <w:rsid w:val="00A30D7A"/>
    <w:rsid w:val="00A56544"/>
    <w:rsid w:val="00A62303"/>
    <w:rsid w:val="00A846DA"/>
    <w:rsid w:val="00A95888"/>
    <w:rsid w:val="00A97671"/>
    <w:rsid w:val="00A97D23"/>
    <w:rsid w:val="00AA2FA2"/>
    <w:rsid w:val="00AC599C"/>
    <w:rsid w:val="00AD735C"/>
    <w:rsid w:val="00AE151E"/>
    <w:rsid w:val="00AF323A"/>
    <w:rsid w:val="00B071EE"/>
    <w:rsid w:val="00B32636"/>
    <w:rsid w:val="00B347BF"/>
    <w:rsid w:val="00BA5478"/>
    <w:rsid w:val="00BB040F"/>
    <w:rsid w:val="00BC679A"/>
    <w:rsid w:val="00BE5C19"/>
    <w:rsid w:val="00C03F64"/>
    <w:rsid w:val="00C059B1"/>
    <w:rsid w:val="00C13ADF"/>
    <w:rsid w:val="00C176F5"/>
    <w:rsid w:val="00C17D60"/>
    <w:rsid w:val="00C31809"/>
    <w:rsid w:val="00C31D3F"/>
    <w:rsid w:val="00C44272"/>
    <w:rsid w:val="00C839E8"/>
    <w:rsid w:val="00CA1A70"/>
    <w:rsid w:val="00CA2D4E"/>
    <w:rsid w:val="00CB27D9"/>
    <w:rsid w:val="00CD37ED"/>
    <w:rsid w:val="00CE026C"/>
    <w:rsid w:val="00CE3EA7"/>
    <w:rsid w:val="00CF2FAB"/>
    <w:rsid w:val="00CF6B09"/>
    <w:rsid w:val="00D03C91"/>
    <w:rsid w:val="00D10710"/>
    <w:rsid w:val="00D17726"/>
    <w:rsid w:val="00D21CF3"/>
    <w:rsid w:val="00D22587"/>
    <w:rsid w:val="00D26D67"/>
    <w:rsid w:val="00D55FBE"/>
    <w:rsid w:val="00D63B34"/>
    <w:rsid w:val="00D91694"/>
    <w:rsid w:val="00DA6290"/>
    <w:rsid w:val="00DC55A3"/>
    <w:rsid w:val="00DE5FAC"/>
    <w:rsid w:val="00E14971"/>
    <w:rsid w:val="00E17CD5"/>
    <w:rsid w:val="00E23D1C"/>
    <w:rsid w:val="00E23F6F"/>
    <w:rsid w:val="00E55BBF"/>
    <w:rsid w:val="00E64D51"/>
    <w:rsid w:val="00E85C0D"/>
    <w:rsid w:val="00EB6914"/>
    <w:rsid w:val="00EB6F6E"/>
    <w:rsid w:val="00F026C3"/>
    <w:rsid w:val="00F216B7"/>
    <w:rsid w:val="00F374C2"/>
    <w:rsid w:val="00F3785F"/>
    <w:rsid w:val="00F5160A"/>
    <w:rsid w:val="00F611E1"/>
    <w:rsid w:val="00F86A74"/>
    <w:rsid w:val="00F978EB"/>
    <w:rsid w:val="00FA14F7"/>
    <w:rsid w:val="00FA2E1E"/>
    <w:rsid w:val="00FC6A7D"/>
    <w:rsid w:val="00FE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D37B251"/>
  <w15:chartTrackingRefBased/>
  <w15:docId w15:val="{CB1CCE34-C44F-46D1-9607-A023FACE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8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9318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2">
    <w:name w:val="Body Text Indent 2"/>
    <w:basedOn w:val="Normal"/>
    <w:link w:val="Retraitcorpsdetexte2Car"/>
    <w:rsid w:val="00F611E1"/>
    <w:pPr>
      <w:ind w:left="709" w:hanging="709"/>
    </w:pPr>
    <w:rPr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rsid w:val="00F611E1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styleId="Lienhypertexte">
    <w:name w:val="Hyperlink"/>
    <w:basedOn w:val="Policepardfaut"/>
    <w:rsid w:val="0074054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026C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23F6F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93185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nchor-text">
    <w:name w:val="anchor-text"/>
    <w:basedOn w:val="Policepardfaut"/>
    <w:rsid w:val="00275EDE"/>
  </w:style>
  <w:style w:type="paragraph" w:customStyle="1" w:styleId="EMPTYCELLSTYLE">
    <w:name w:val="EMPTY_CELL_STYLE"/>
    <w:qFormat/>
    <w:rsid w:val="00CA2D4E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00181-022-02294-6" TargetMode="External"/><Relationship Id="rId13" Type="http://schemas.openxmlformats.org/officeDocument/2006/relationships/hyperlink" Target="https://videos.lesechos.fr/investir/investir-en-video/bitcoin-les-arbres-montent-ils-jusquau-ciel/q0vrkp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16/j.tranpol.2023.06.004" TargetMode="External"/><Relationship Id="rId12" Type="http://schemas.openxmlformats.org/officeDocument/2006/relationships/hyperlink" Target="https://doi.org/10.1016/j.ecosys.2015.01.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doi.org/10.4074/S033805991600303X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oi.org/10.3917/reco.721.01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qref.2021.09.0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1731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Sokic</dc:creator>
  <cp:keywords/>
  <dc:description/>
  <cp:lastModifiedBy>SOKIC Alexandre</cp:lastModifiedBy>
  <cp:revision>3</cp:revision>
  <dcterms:created xsi:type="dcterms:W3CDTF">2026-02-02T17:30:00Z</dcterms:created>
  <dcterms:modified xsi:type="dcterms:W3CDTF">2026-02-02T17:33:00Z</dcterms:modified>
</cp:coreProperties>
</file>